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februāra noteikumos Nr. 93 "Kārtība, kādā Iekšlietu ministrijas sistēmas iestāžu un Ieslodzījuma vietu pārvaldes amatpersona ar speciālo dienesta pakāpi, kura atvaļināta no dienesta sakarā ar noteiktajām prasībām neatbilstošu veselības stāvokli, saņem apmaksātus veselības aprūpes pakalpojumus"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24-TA-2654</w:t>
    </w:r>
    <w:r>
      <w:br/>
    </w:r>
    <w:r w:rsidR="00000000" w:rsidRPr="00000000" w:rsidDel="00000000">
      <w:rPr>
        <w:rtl w:val="0"/>
      </w:rPr>
      <w:t xml:space="preserve">Izdrukāts 05.12.2024.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24-TA-2654</w:t>
    </w:r>
    <w:r>
      <w:br/>
    </w:r>
    <w:r w:rsidR="00000000" w:rsidRPr="00000000" w:rsidDel="00000000">
      <w:rPr>
        <w:rtl w:val="0"/>
      </w:rPr>
      <w:t xml:space="preserve">Izdrukāts 05.12.2024.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Atzinumi_24-TA-2654.docx</dc:title>
</cp:coreProperties>
</file>

<file path=docProps/custom.xml><?xml version="1.0" encoding="utf-8"?>
<Properties xmlns="http://schemas.openxmlformats.org/officeDocument/2006/custom-properties" xmlns:vt="http://schemas.openxmlformats.org/officeDocument/2006/docPropsVTypes"/>
</file>