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Atbalsts investīciju projektu attīstībai pašvaldībās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 padomāt, ka procentu likmju subsīdija ir īstermiņa instruments, un tā sedz tikai daļu no aizdevuma procentu maksājumiem, bet nemazina aizdevuma pamatsummas slogu. Principā tā sanāk kā mākslīga naudas apgrozīšana valsts “kabatā”, jo no vienas sadaļas paņemsim, iedosim pašvaldībai un pašvaldība nosegs procenta maksājumus valsts kases aizņēmumam, t.i. ieliks citā valsts “kabatā”. Vai nav prātīgāk šo atbalstu sniegt reizē ar valsts kases aizņēmuma izsniegšanu, t.i. attiecīgi pie aizņēmuma saņemšanas samazināt % likmi? Vai nav kārtējā birokrātiskā procedūra?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 šādi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piemēram, pašvaldības īstenots infrastruktūras attīstības projekts, kura ietvaros tiek veikta ielas pārbūve, kurai blakus atrodas uzņēmums, kas darbojas informācijas un komunikācijas tehnoloģiju jomā, atbilst šai 2.1.1. apakšpunktā noteiktajai pazīmei? Vai arī investīciju projekts, kurā ieguldījumi tiek veikti publiskā ielā, kurai blakus atrodas industriālais parks, atbilst investīciju projektam šo noteikumu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atbalsta saņēmējs – projekta iesniedzējs, par kuru Latvijas Investīciju un attīstības aģentūra (turpmāk – Aģentūra) ir pieņēmusi lēmumu par atbalsta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lasot noteikumus nav izprotams kāda saistība ir aģentūras lēmuma, piemēram ar pašvaldības darbību, pašvaldības projekta īstenošanu u.c. Vai arī tad augstāk norādītajos 2.punkta apakšpunktos ir jāskaidro Aģentūras kompetence un loma.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Aģentūra atbalstu sniedz procentu likmes subsīdijām projekta iesniedzējiem, kas plāno īstenot investīciju projektus saskaņā ar šiem noteikumiem vai jau ievieš investīciju projektus un saņēmuši vai plāno saņemt Valsts kases aizdevumu.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projektu atbalstu plānots piešķirt aizdevuma procentu likmju nākotnes maksājumiem Valsts kases piešķirtajam kredītam ne vairāk kā 200 000 EUR apmērā. Lūdzam skaidrot, kā tiks aprēķināti šie nākotnes procentu maksājumi. Liepājas valstspilsētas pašvaldības aizņēmumi ir noslēgti ar 12 mēnešu mainīgo procentu likmi un iesniedzot pieteikumu, nav iespējams precīzi noteikt nākotnes procentu maksājumus.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notiek gadījumā, ja aizdevuma atmaksas periodā ievērojami samazinās euribor, bet atbalsts ir piešķirts uz lielāku euribor likmi?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Aģentūra ne vēlāk kā divu mēnešu laikā pēc šo noteikumu spēkā stāšanās izstrādā un apstiprina konkursa nolikumu un izsludina pirmo atklāto projektu iesniegumu atlasi valsts platformā biznesa attīstībai www.business.gov.lv (turpmāk - business.gov.lv), norādot projektu iesniegumu iesniegšanas termiņu, atlases ietvaros pieejamo finansējumu, projektu iesniegumu vērtēšanas kārtību, kā arī vietu, kur var iepazīties ar nolikumu un saņemt papildinformāciju. Konkursa nolikumam pievieno projekta iesnieguma veidlapu un citu iesniedzamo dokumentu veidlapas.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norādītā valsts izveidotā platforma www.business.gov.lv pašlaik nav plaši atpazīstama un populāra, pastāv risks, ka potenciālie projektu iesniedzēji, uz kuriem attiecas Ministru kabineta noteikumi, savlaicīgi neuzzinās par atklāto projektu iesniegumu atlases izsludināšanu.  Tāpat jāņem vērā, ka šobrīd norit platformas uzlabošanas darbi, kas cita starpā var ietvert arī izmaiņas tās nosaukumā un/vai pieejamībā. Šādu pārmaiņu dēļ konkrētas platformas adreses fiksēšana noteikumos var radīt tehniskas vai juridiskas neskaidrības nākotnē. Tāpēc aicinām pārdomāt platformas tiešu norādīšanu noteikumos vai paredzēt elastīgāku formulējumu. Gala lēmumu šajā jautājumā būtu vēlams atstāt kompetentajai Aģentūrai.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Aģentūra, vērtējot investīciju projektu iesniegumus: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19.2.1., 19.2.2. un 19.2.3. apakšpunktu redakciju, konstatējams, ka tajos nav pietiekami skaidri noteikts piemērošanas princips. Proti, nav precizēts, vai minētajās situācijās projektu iesniegumiem tiek piešķirti papildus vērtēšanas punkti, tiek piemērota punktu samazināšana, piešķirta priekšrocība salīdzinājumā ar citiem iesniegumiem, vai arī punktu skaits tiek aprēķināts saskaņā ar kādu noteiktu formulu. Lūdzam izvērtēt iespēju precizēt šo apakšpunktu piemērošanas mehānismu, lai nodrošinātu skaidru, caurredzamu un viennozīmīgu projektu vērtēšanas kārtību, kā arī lai samazinātu iespējamos interpretācijas riskus projekta īstenošanas gaitā.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sarindo tos pēc plānotā privātā investīciju apmēra pret publiskā finansējuma atbalsta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detalizētāk skaidrot, ko ietver publiskās investīcijas un ko ietver privātās investīcijas? Projekti ir dažādi – gan īstenoti ar pašvaldības budžeta līdzekļiem, gan piesaistot ES fondu investīcijas. Ir projekti, kuros ir noteikti rādītāji, kas jāsasniedz (piemēram, privātās nefinanšu investīcijas nemateriālajos ieguldījumos un pamatlīdzekļos), līdz ar to būtu nepieciešama lielāka izpratne par to, kas ar šiem terminiem ir domāts.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29.04.2025. 11.50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29.04.2025. 11.50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