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definīciju, jo konkrētā definīcija ir par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w:t>
            </w:r>
            <w:r w:rsidR="00000000" w:rsidRPr="00000000" w:rsidDel="00000000">
              <w:rPr>
                <w:b w:val="1"/>
                <w:rtl w:val="0"/>
              </w:rPr>
              <w:t xml:space="preserve">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ēkās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panta pirmo daļu, jo šobrīd tā ierobežo publiskā sektora iespējas veikt mazākus energoefektivitātes pasākumus nerenovējot ēku pilnība.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ir pamatota mērķa noteikšana katrai iestādei, jo gan izmaksu efektivitātes, gan praktiskas īstenojamības dēļ efektīvāk būtu noteikt mērķus piem. atsevišķām valsts resora iestādēm un pašvaldībām, nevis katrai publiskai iestādei atsevišķi kā savu mērķi. Piemērām, kā šo mērķi varētu izpildīt Ekonomikas ministrija vai jebkura cita iestāde kurai ir viena 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termins “Globālās sasilšanas potenciāls (GPS)” ir pārņemts no direktīvas, tomēr klimata politikā tiek lietots citādākā nozīmē. GSP (GWP) pats par sevi nav “rādītājs ēkai”, bet gan raksturlielums konkrētai siltumnīcefekta gāzei, kas parāda tās ietekmi uz globālo sasilšanu salīdzinājumā ar CO₂ noteiktā laika periodā (parasti 100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Allena-Ozoliņa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aplēsi par aptuveno apjomu, ņemot vērā nepieciešamo vidējo stundu skaitu aprēķinu veikšanai vienam projektam un vidējo projektu skaitu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26.03.2026.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26.03.2026.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