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 nodrošinot normatīvajos aktos par Atveseļošanas fonda plāna īstenošanas un uzraudzības kārtību noteiktā pienākuma izpildi attiecībā uz informācijas ievadi vadības informācijas sistēmā Atveseļošanas fonda plāna īstenošanas progresa pusgada ziņojuma un maksājuma pieprasījuma sagatavošanai, datus uzkrāj un ievada vadības informācijas sistēmā atbilstoši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minētajā pārvaldes lēmumā noteiktajam termiņam, bet ne vēlāk kā līdz kārtējā gada 10. janvārim (ar statusu uz iepriekšējā gada 31. decembri) un 10. jūlijam (ar statusu uz kārtējā gada 30. jūniju);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noteikumu projekta 21.10. apakšpunkts attiecībā uz finansējuma saņēmēju pēc būtības dublē Ministru kabineta noteikumu Nr. 621 "Eiropas Savienības Atveseļošanas un noturības mehānisma plāna īstenošanas un uzraudzības kārtība" 10.2. apakšpunktu. Līdz ar to Inspekcijas ieskatā, ievērojot Ministru kabineta noteikumu Nr. 108 3. punktu, minētais apakšpunkts attiecībā uz finansējuma saņēmēju būtu svītrojams.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sadarbības partnera pienākuma izpildi ievadīt informāciju vadības informācijas sistēmā, lūdzam norādīt atbilstošu tiesisko pamatojumu.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vēršam uzmanību, ka gadījumā, ja 21.10. apakšpunkta mērķis ir noteikt termiņu, kādā informāciju ievada sistēmā, aicinām uzsvaru likt uz termiņiem un nedublēt jau esošas tiesību normas, bet gan veikt atsauci uz konkrētām spēkā esošām tiesību normām.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 kā datu pārziņi apstrādā un uzkrāj vadības informācijas sistēmā personas datus tādā apjomā, kas nepieciešams, lai īstenotu projektu, kā arī sagatavotu un iesniegtu šo noteikumu </w:t>
            </w:r>
            <w:r w:rsidR="00000000" w:rsidRPr="00000000" w:rsidDel="00000000">
              <w:rPr>
                <w:rtl w:val="0"/>
              </w:rPr>
              <w:t xml:space="preserve">21.10. </w:t>
            </w:r>
            <w:r w:rsidR="00000000" w:rsidRPr="00000000" w:rsidDel="00000000">
              <w:rPr>
                <w:rtl w:val="0"/>
              </w:rPr>
              <w:t xml:space="preserve">apakšpunktā</w:t>
            </w:r>
            <w:r w:rsidR="00000000" w:rsidRPr="00000000" w:rsidDel="00000000">
              <w:rPr>
                <w:rtl w:val="0"/>
              </w:rPr>
              <w:t xml:space="preserve">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projekta anotācijā norādīts, ka personas datu apstrāde veicama tikai tādos gadījumos un apjomā kāds noteikts MK 2021. gada 7. septembra noteikumu Nr. 621 “Eiropas Savienības Atveseļošanas un noturības mehānisma plāna īstenošanas un uzraudzības kārtība” 8.5. un 10.2. apakšpunktā. Kontekstā ar Inspekcijas izteikto iebildumu attiecībā uz 21.10. apakšpunktu, kas daļā par finansējuma saņēmēju kā pārzini dublē MK noteikumu Nr. 621 10.2. apakšpunktu un attiecībā uz sadarbības partneri kā pārzini nav saskatāms tiesiskais pamats, aicinām 21.12. apakšpunktu svītrot no noteikumu projekta, jo tiesību norma ir bez juridiskās slodzes.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 veicot personas datu apstrādi normatīvajos aktos par Eiropas Savienības Atveseļošanas un noturības mehānisma plāna īstenošanas un uzraudzības kārtību noteikto funkciju izpildei, nodrošina Eiropas Parlamenta un Padomes 2016. gada 27. aprīļa Regulas (ES) Nr. 2016/679 par fizisku personu aizsardzību attiecībā uz personas datu apstrādi un šādu datu brīvu apriti un ar ko atceļ Direktīvu 95/46/EK ievērošanu, tai skaitā pilda datu pārziņa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Eiropas Parlamenta un Padomes 2016. gada 27. aprīļa Regula (ES) Nr. 2016/679 par fizisku personu aizsardzību attiecībā uz personas datu apstrādi un šādu datu brīvu apriti un ar ko atceļ Direktīvu 95/46/EK ir tieši piemērojams Eiropas Savienības normatīvais akts un neatkarīgi no šajā tiesību normā noteiktā, pārzinim ir jāievēro Datu regulā noteiktie pienākumi. Līdz ar to tiesību norma uzskatāma bez juridiskās slodzes un lūdzam to svītrot.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08.03.2024. 16.32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08.03.2024. 16.32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Atzinumi_22-TA-3760.docx</dc:title>
</cp:coreProperties>
</file>

<file path=docProps/custom.xml><?xml version="1.0" encoding="utf-8"?>
<Properties xmlns="http://schemas.openxmlformats.org/officeDocument/2006/custom-properties" xmlns:vt="http://schemas.openxmlformats.org/officeDocument/2006/docPropsVTypes"/>
</file>