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 par spēku zaudējušu Ministru kabineta 2024. gada 26. novembra sēdes protokollēmuma Nr.50 40.§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5., 6. un 7.punktu, ņemot vērā, ka izvērtējot MK 26.11.2024. sēdes prokollēmuma 5.punktu (prot. Nr.50, 40.§) un esam konstatējuši, ka tas savulaik attiecās uz ES kohēzijas politikas programmas 2021.-2027.gadam (turpmāk – Programma) 2.grozījumiem, kuru ietvarā tika palielināts 4.2.2.4. pasākuma finansējums, pārdalot finansējumu no citiem 4.prioritārā mērķa ESF+ pasākumiem. Ņemot vērā, ka Programmas grozījumus Nr.2 Eiropas Komisijas apstiprināja 23.01.2025., uzskatām, ka šobrīd MK 26.11.2024. sēdes prokollēmuma 5.punkts (prot. Nr.50, 40.§) vairs nav aktuāls (ir izpildīts nosacījums par EK lēmumu) un neuzliek sadarbības iestādei ierobežojumu slēgt vienošanos par projekta īstenošanu  4.2.2.4.pasākuma ietvaros, jo ir pieejams viss ar Programmas grozījumu Nr.2 pārdali 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22.2.4. iekšējo inženiertīklu (iekšējo elektrotīklu,  apkures  sistēmu,  vēdināšanas  un gaisa kondicionēšanas sistēmu, ūdensvada tīklu, kanalizācijas tīklu, automātiskās ugunsgrēka atklāšanas, videonovērošanas sistēmas, tostarp videonovērošanas kameras, balss apziņošanas  sistēmas, trauksmes signalizācijas un automātiskās balss ugunsgrēka izziņošanas sistēmu) izbūves un pārbūves izmaksas. Minētās izmaksas, izņemot vēdināšanas un gaisa kondicionēšanas sistēmu izbūves un pārbūves izmaksas, plāno kā papildinošas šo noteikumu </w:t>
            </w:r>
            <w:r w:rsidR="00000000" w:rsidRPr="00000000" w:rsidDel="00000000">
              <w:rPr>
                <w:rtl w:val="0"/>
              </w:rPr>
              <w:t xml:space="preserve">22.2.1.</w:t>
            </w:r>
            <w:r w:rsidR="00000000" w:rsidRPr="00000000" w:rsidDel="00000000">
              <w:rPr>
                <w:rtl w:val="0"/>
              </w:rPr>
              <w:t xml:space="preserve">, </w:t>
            </w:r>
            <w:r w:rsidR="00000000" w:rsidRPr="00000000" w:rsidDel="00000000">
              <w:rPr>
                <w:rtl w:val="0"/>
              </w:rPr>
              <w:t xml:space="preserve">22.2.2.</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w:t>
            </w:r>
            <w:r w:rsidR="00000000" w:rsidRPr="00000000" w:rsidDel="00000000">
              <w:rPr>
                <w:rtl w:val="0"/>
              </w:rPr>
              <w:t xml:space="preserve"> minētajām izmaksām, un tās nepārsniedz 25 procentus no šo noteikumu </w:t>
            </w:r>
            <w:r w:rsidR="00000000" w:rsidRPr="00000000" w:rsidDel="00000000">
              <w:rPr>
                <w:rtl w:val="0"/>
              </w:rPr>
              <w:t xml:space="preserve">22.2.1.</w:t>
            </w:r>
            <w:r w:rsidR="00000000" w:rsidRPr="00000000" w:rsidDel="00000000">
              <w:rPr>
                <w:rtl w:val="0"/>
              </w:rPr>
              <w:t xml:space="preserve">,  </w:t>
            </w:r>
            <w:r w:rsidR="00000000" w:rsidRPr="00000000" w:rsidDel="00000000">
              <w:rPr>
                <w:rtl w:val="0"/>
              </w:rPr>
              <w:t xml:space="preserve">22.2.2.</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w:t>
            </w:r>
            <w:r w:rsidR="00000000" w:rsidRPr="00000000" w:rsidDel="00000000">
              <w:rPr>
                <w:rtl w:val="0"/>
              </w:rPr>
              <w:t xml:space="preserve"> minētajām būvdarbu attiecināmajām izmaksām. Ja projekta īstenošanas rezultātā paredzēta visu projektā atbalstāmo vispārējās izglītības iestādes klašu telpu mācību vides uzlabošana, iekšējo inženiertīklu izbūves un pārbūves izmaksas, izņemot vēdināšanas un gaisa kondicionēšanas sistēmu izbūves un pārbūves izmaksas, nepārsniedz 25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administratīvā sloga mazināšanu un vienkāršotu izmaksu aprēķinu procesu, tādējādi samazinot iespējamo kļūdu risku, aicinām izvērtēt iespēju pārskatīt un vienkāršot inženiertīklu izmaksu ierobežojuma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apsvērt iespēju noteikt vienotu inženierkomunikāciju izmaksu ierobežojumu 25% apmērā no projekta kopējām attiecināmajām izmaksām viena projekta ietvaros. Tādējādi gadījumos, kad projekta iesniegumā tiek attīstītas vairākas izglītības iestādes un katrai izglītības iestādei ir atšķirīgs pārbūves apjoms (pilna apmēra pārbūve vai atsevišķu telpu pārbūve), nebūtu katrai skolai jāpiemēro attiecīgais inženiertīklu izmaksu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22.2.4. iekšējo inženiertīklu (iekšējo elektrotīklu,  apkures  sistēmu,  vēdināšanas  un gaisa kondicionēšanas sistēmu, ūdensvada tīklu, kanalizācijas tīklu, automātiskās ugunsgrēka atklāšanas, videonovērošanas sistēmas, tostarp videonovērošanas kameras, balss apziņošanas  sistēmas, trauksmes signalizācijas un automātiskās balss ugunsgrēka izziņošanas sistēmu) izbūves un pārbūves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inženiertīklu izbūves un pārbūves izmaksas, izņemot vēdināšanas un gaisa kondicionēšanas sistēmu izbūves un pārbūves izmaksas, nepārsniedz 25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Matule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teritorijas labiekārtošanas un drošības nodrošināšanas, tai skaitā attiecīgo elementu iegādes un uzstādīšanas (piemēram, soliņi, celiņi, apgaismojums, žogi, terases, nojumes, videonovērošanas kameras, apsardzes sistēma), izmaksas, nepārsniedzot divus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līdzīgi kā 4.2.1.5. pasākuma 3.kārtas MK noteikumu 21.punkta redakcijā "21. Šo noteikumu 20.6. un 20.7. apakšpunktā minētās izmaksas kopā nepārsniedz 50 procentus no projekta kopējām attiecināmajām izmaksām.", izteikt atsevišķu 4.2.1.5. pasākuma 2.kārtas MK noteikumu punktu, kurā būtu noteikts vienots izmaksu ierobežojums par MK noteikumu 22.6., 22.7., 22.8.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dzēšot MK noteikumu 22.6., 22.7. un 22.8. apakšpunktos noteiktos izmaksu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vispārējās izglītības iestādes dienesta viesnīcas būvniecības, pārbūves un atjaunošanas izmaksas un tās darbības (dzīvojamo un mācību telpu, virtuves, sanitāro mezglu, dušas telpu) nodrošināšanai nepieciešamā aprīkojuma un mēbeļu iegādes izmaksas. Izmaksu nosacījums nav attiecināms šo noteikumu 23. 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vispārējās izglītības iestādes sporta zāles un sporta laukuma, tai skaitā ārtelpu aktivitāšu sporta laukuma un ģērbtuvju pārbūves un atjaunošanas izmaksas, ārtelpu aktivitāšu sporta laukuma aprīkojuma un inventāra izmaksas un mācību priekšmeta "Sports un veselība" nodrošināšanai nepieciešamā aprīkojuma un inventāra iegādes izmaksas. Izmaksas ir attiecināmas, ja projektā ir paredzētas vismaz šo noteikumu 22.1. vai 22.2. apakšpunktā minētās izmaksas un 22.4. un 22.5. apakšpunktā minētās izmaksas. Izmaksu nosacījums nav attiecināms šo noteikumu 23. 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teritorijas labiekārtošanas un drošības nodrošināšanas, tai skaitā attiecīgo elementu iegādes un uzstādīšanas (piemēram, soliņi, celiņi, apgaismojums, žogi, terases, nojumes, videonovērošanas kameras, apsardzes sistēma)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22.17. Šo noteikumu 22.6., 22.7. un 22.8. apakšpunktā minētās izmaksas kopā nepārsniedz 52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Matule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24.09.2025.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24.09.2025.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