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4.1.apakšpunkta sadaļas “Latviešu valodas apguves pieaugušajiem mācību piedāvājuma sistēmas iestrāde prasmju pārvaldības platformā (nozīmīgākie posmi)” 2) punktā ir norādīts, ka tiek plānota “integrācija datu apmaiņas nodrošināšanai ar esošajiem reģistriem un sistēmām (piem., SIF un NVA datubāzi, VIIS, VPS, PMLP). Vēršam uzmanību, ka PMLP nav reģistrs, līdz ar to, lūdzam precizēt, vai tiek plānota informācijas iegūšana no PMLP uzturētās Fizisko personu reģistra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informatīvā ziņojuma 4.1.apakšpunkta sadaļas “Latviešu valodas apguves pieaugušajiem mācību piedāvājuma sistēmas iestrāde prasmju pārvaldības platformā (nozīmīgākie posmi)” 1) punktā tiek saprasts ar “Latvijā nav valsts mēroga risinājuma, kas ļautu droši un vienoti identificēt nerezidentus”. Informējam, ka Fizisko personu reģistra likuma 4.panta pirmās daļas 2) punktā ir noteikti gadījumi, kādos Fizisko personu reģistrā tiek iekļautas ziņas par ārzemniekiem.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nerezidents var būt arī Latvijas pilsonis, nepilsonis vai ES pilsonis, tad informatīvā ziņojuma 4.1.apakšpunkta sadaļas “Latviešu valodas apguves pieaugušajiem mācību piedāvājuma sistēmas iestrāde prasmju pārvaldības platformā (nozīmīgākie posmi)” 1) punktā būtu lietojams termins “ārzemnieki”.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informāciju 1. tabulā. 2020. gadā un 2021. gadā tabulā norādītie bēgļa statusa saņēmēji (9 personas 2020. gadā un 62 personas 2021. gadā) nevar būt saņēmuši termiņuzturēšanās atļauju, kā norādīts tabulā. Bēgļa statusa saņēmējiem tiek izsniegta tikai pastāvīgās uzturēšanās atļauja, kas nav termiņuzturēšanās atļaujas paveids, kā tas izriet no pašreiz tabulā ietvertās informācijas. Savukārt Ukrainas civiliedzīvotājiem tiek piešķirta pagaidu aizsardzība un viņi saņem termiņuzturēšanās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Krūmiņa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terminoloģiju ziņojuma 3. pielikumā, mērķgrupas ailē 26. lpp. ievērojot korektu termina "Eiropas Ekonomikas zona" rakstību (aiz vārda "Eiropas" tiek lietots lielais sākumburts).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Krūmiņa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10.10.2025.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10.10.2025.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