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noteikumi par Eiropas Savienības kohēzijas politikas programmas 2021. - 2027.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Maksimālais attiecināmais Eiropas Reģionālās attīstības fonda finansējuma apmērs nepārsniedz 85 procentus no projekta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 pirms Eiropas Komisijas lēmuma par vidusposma pārskatu Eiropas Reģionālās attīstības fonda finansējuma apmērs nepārsniedz 56,12 procentus no projekta kopējā attiecināmā finansējuma, ņemot vērā valsts budžeta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tiešās attiecināmās personāla atlīdzības izmaksas saskaņā ar Valsts un pašvaldību institūciju amatpersonu un darbinieku atlīdzības likumu, izņemot virsstundas. Ja personāla iesaiste projektā ir nodrošināta saskaņā ar daļlaika izmaksu attiecināmības principu, attiecināma ir ne mazāka kā 30 procentu noslodze;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atlīdzības izmaksām piemērot Regulas Nr.2021/1060 55. panta 1.punktā noteikto iespēju, tas ir  izmantot līdz 20% vienoto likmi, ņemot vērā, ka tas samazinās administratīvo slogu visiem iesaistītajiem. Gadījumā, ja vienotās likmes piemērošana nav iespējama, lūdzam piemērot citu vienkāršoto izmaksu veidu, attiecīgi izstrādājot metodiku un saskaņojot to ar vadošo iestādi.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20.1. apakšpunktā minētā projekta vadības personāla atlīdzības izmaksas nepārsniedz 34 422 </w:t>
            </w:r>
            <w:r w:rsidR="00000000" w:rsidRPr="00000000" w:rsidDel="00000000">
              <w:rPr>
                <w:i w:val="1"/>
                <w:rtl w:val="0"/>
              </w:rPr>
              <w:t xml:space="preserve">euro</w:t>
            </w:r>
            <w:r w:rsidR="00000000" w:rsidRPr="00000000" w:rsidDel="00000000">
              <w:rPr>
                <w:rtl w:val="0"/>
              </w:rPr>
              <w:t xml:space="preserve"> gadā, pieskaitot 0,64 procentus no projekta tiešajām attiecināmajām izmaksām, neieskaitot tiešās projekta vadības personāla izmaksas, un summu reizina ar projekta plānoto īstenošanas ilgumu gados. Ja projekta īstenošanas gads neietver 12 kalendāra mēnešus, šī gada izmaksu ierobežojumu aprēķina proporcionāli projekta īstenošanas kalendāra mēnešu skaitam.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SAM pasākumam kopējo attiecināmo finansējumu un 21.punktā ietverto redakciju, kas atbilstoši attiecināmības vadlīnijām ir piemērojams ERAF, KF, TPF līdzfinansētajiem projektiem līdz 5 miljoniem EUR, lūdzam skaidrot, vai katram no 3 plānotajiem projektiem kopējā attiecināmā summa nepārsniegs 5 miljonus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var pretendēt uz atbalstu pasākumā, ja infrastruktūra un nekustamais īpašums, kurā par projekta īstenošanai piešķirtajiem līdzekļiem tiks veikti ieguldījumi, ir finansējuma saņēmēja, citas publiskas personas vai finansējuma saņēmēja kontrolētas kapitālsabiedrības īpašumā. Ja nekustamais īpašums ir citas publiskas personas vai finansējuma saņēmēja kontrolētas kapitālsabiedrības īpašumā, tad finansējuma saņēmējam lietošanas tiesības ir uz termiņu, kas nav īsāks par pieciem gadiem no dienas, kad veikts projekta noslēguma maksājums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28.punkts paredz, ka infrastruktūra un nekustamais īpašums, kurā par projekta īstenošanai piešķirtajiem līdzekļiem tiks veikti ieguldījumi, var atrasties arī citas publiskas personas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tostarp anotācijā, uz kāda pamata finansējuma saņēmējs ir tiesīgs veikts ieguldījumus attiecīgajā infrastruktūrā un nekustamajā īpašumā. Vēršam uzmanību, ka finansējuma saņēmēja tiesībām uz konkrēto objektu vai īpašumu jābūt nostiprinātām Zemesgrāmatā (ja attiecināms, t.i., ja minētajam nosacījumam saskaņā ar nacionālo regulējumu ir izņēmums, tas attiecīgi aprakstāms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Projekta iesniedzējs izpilda nepieciešamās prasības un nodrošina, ka projekts atbilst principa "nenodarīt būtisku kaitējumu" ievērošanai un atbilst Eiropas Savienības kohēzijas politikas programmas 2021.–2027. gadam noteiktajiem Eiropas Savienības un nacionālajiem normatīvajiem aktiem vides jomā, tai skaitā prioritāri atbalstot esošas ēkas atjaunošanu vai pārbūvi, pielāgojot to sabiedrībā balstītu sociālo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iekļautas veicamās darbības, nosacījumu finansējuma saņēmējiem, kas identificētas horizontālā principa “Nenodarīt būtisku kaitējumu” (Do no significant harm – DNSH)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Īstenojot projektu,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2023.gada 13.jūlija sēdes protokollēmumā (prot. Nr.36 85.§ 3.punkts) noteikto un lai veicinātu Eiropas Savienības fondu projektu izmaksu un ieguvumu analīzes veikšanu ne tikai gadījumos, kad Eiropas Savienības fondu projekta ietvaros plānots gūt neto ieņēmumus, lūdzam paredzēt noteikumu projektā nepieciešamību finansējuma saņēmējam veikt izmaksu un ieguvumu analīzi, ņemot vērā, ka noteikumu projekts paredz ierobežotu projektu iesniegumu atlasi, un projekta kopējās izmaksas (ieskaitot PVN) pārsniedz 1 miljonu </w:t>
            </w:r>
            <w:r w:rsidR="00000000" w:rsidRPr="00000000" w:rsidDel="00000000">
              <w:rPr>
                <w:i w:val="1"/>
                <w:rtl w:val="0"/>
              </w:rPr>
              <w:t xml:space="preserve">euro</w:t>
            </w:r>
            <w:r w:rsidR="00000000" w:rsidRPr="00000000" w:rsidDel="00000000">
              <w:rPr>
                <w:rtl w:val="0"/>
              </w:rPr>
              <w:t xml:space="preserve">. Ja izmaksu un ieguvumu analīze netiks paredzēta, lūdzam anotācijā sniegt atbilstošu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Īstenojot projektu,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pašvaldība, noteikumu projektā ietver nosacījumu, ka finansējuma saņēmējs avansa pieprasījumu sagatavo, un sadarbības iestāde avansa pieprasījumu apstiprina, ņemot vērā nosacījumu, ka plānotā avansa apmērs, tā pamatojums atbilst spējai to izlietot saimnieciskā gada ietvaros (piemēram, sešu mēnešu laikā), kā arī, ievērojot, ka avansa un starpposma maksājumu kopsumma nepārsniedz 90 procentus no projektam piešķirtā Eiropas Reģionālās attīstības fonda finansējuma un valsts budžeta līdzfinansējuma kopsummas (ja attiecināms). Vienlaikus aicinām izvērtēt un precizēt noteikumu projekta 25. un 26.punktu un papildināt anotāciju ar attiecīgo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37.10. nodrošina, ka projekta ietvaros izveidotā sabiedrībā balstītu sociālo pakalpojumu infrastruktūra vismaz piecus gadus pēc noslēguma maksājuma veikšanas tiks izmantotas tikai sabiedrībā balstītu sociālo pakalpojumu sniegšanai šo noteikumu 3. punktā minētajām mērķa grupas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aktivitātes ietvaros tiek paredzēti ieguldījumi infrastruktūrā, kā arī anotācijā skaidroto, ka 4.3.1.5.pasākuma ietvaros izveidotajā infrastruktūrā netiek uzsākta un veikta saimnieciskā darbība, MKN projekts paredz nosacījumus, kas nosaka ierobežojumus infrastruktūras izmantošanai un ka šie ierobežojami tiek attiecināti uz visu projekta pārskata periodu (amortizācijas periodu), vēršam uzmanību, ka MKN projekta 37.10.un 37.11.punktos noteiktais šo nosacījumu neatspoguļo. Lūdzam precizēt MKN projektu tā, lai tiktu nodrošināts, ka visā aktivitātes ietvaros radītās infrastruktūras ekspluatācijas laikā (amortizācijas periodā) tiek nodrošināts, ka infrastruktūra netiek izmantota saimnieciskās darbības veikšanai un par to ir nodrošināta atbilstoša uzraudzība.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37.11. iesniedz sadarbības iestādē informāciju par plānotajām izmaiņām, ja Komisijas 2014. gada 3. marta Deleģētās regulas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I pielikumā noteiktajā projekta pārskata periodā (projekta dzīves cikla laikā) paredzēts mainīt sabiedrībā balstītu sociālo pakalpojumu infrastruktūras izmantošanas nosacījumus un tā rezultātā projekta darbības būs saistītas ar saimniecisko darbību, kurai sniegtais atbalsts būtu kvalificējams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37.11.apakšpunktā minētā regula attiecināma uz Eiropas Savienības struktūrfondu un Kohēzijas fonda 2014.-2020.gada plānošanas perioda īstenošanu. Ievērojot minēto, lūdzam precizēt noteikumu projekta 37.11.apakšpunktu un attiecīgi arī 40.punktu.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plašāku skaidrojumu par sinerģiju ar 4.3.5.1. pasākuma “Sabiedrībā balstītu sociālo pakalpojumu pieejamības palielināšana” trešo kārtu (turpmāk- 4.3.5.1.pasākuma trešā kārta). Lūgums anotācijā ietvert skaidrojumu, vai 4.3.5.1.pasākuma trešās kārtas ietvaros atbalstāmās darbības nepārklājas ar 4.3.1.5.pasākuma atbalstāmajām darbībām un kā tiks nodrošināta demarkācija un dubultfinansējuma riska novēršana. Papildus lūdzam izvērtēt, vai nav citu pasākumu/ investīciju, ar kuriem varētu pārklāties 4.3.1.5.pasākumā atbalstāmās darbības un sniegt izvērtējumu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plānoto ietekmi uz tautsaimniecību, t.sk. norādot pēc iespējas izmērāmus faktiski sagaidāmos rezultātus/rādītājus, papildus Eiropas Savienības kohēzijas politikas programmā 2021.-2027.gadam noteiktajiem rādītājiem.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8.punktā noteikts, ka pasākumam plānotais kopējais attiecināmais finansējums ir 11 738 120 euro, tai skaitā Eiropas Reģionālās attīstības fonda finansējums – 9 977 402 euro un pašvaldības budžeta finansējums – 1 760 718 euro, savukārt noteikumu projekta 9.punktā norādīts, ka līdz elastības finansējuma piešķiršanai plāno pasākuma īstenošanai pieejamo attiecināmo finansējumu ne vairāk kā 7 750 964 euro, tai skaitā Eiropas Reģionālās attīstības fonda finansējumu – 6 588 319 euro apmērā un pašvaldību budžeta līdzfinansējumu – 1 162 645 euro apmērā, un valsts budžeta finansējumu 3 987 156 euro apmērā, līdz ar  to ir precizējami anotācijas 3.sadaļas 1.- 6.punkti.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projekta 8.punktu daļa no pasākuma attiecināmā finansējuma tiek segta no pašvaldību budžeta, un anotācijas 3.sadaļas 6.punktā arī sniegta informācija par pašvaldības budžeta finansējumu. Ņemot vērā minēto, lūdzam anotācijas 3.sadaļas 2.3.punktā norādīt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"Ministru kabineta noteikumi par Eiropas Savienības kohēzijas politikas programmas 2021. - 2027.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ņemot vērā, ka noteikumu projekta 9.punktā ir norādīts, ka  pasākumam ir noteikts elastības finansējums 3 987 156 euro apmērā un līdz Eiropas Komisijas lēmuma par vidusposma pārskatu pieņemšanai elastības finansējumu nepieciešams priekšfinansēt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pamatojumu par elastības daļas priekšfinansēšanas būtisku nepieciešamību, t.sk. norādot riska pakāpi elastības finansējuma nesaņemšanai, kā arī analīzi par finansējuma pārstrukturēšanas iespējām, lai elastības finansējumu ieplānot kādā citā Atbildīgās iestādes pārziņā esošā 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projektā iekļauj pamatojumu izvēlētajam saimnieciski izdevīgākajam sabiedrībā balstītu sociālo pakalpojumu infrastruktūras risinājumam.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skaidrību projekta iesniedzējiem, lūdzam papildināt anotācijas projektu ar skaidrojumu, kāda tieši informācija iekļaujama saimnieciski izdevīgākā sabiedrībā balstītu sociālo pakalpojumu infrastruktūras risinājuma pamatojumā, kāda metodoloģija izmantojama un, ja ir iespējams, iekļaut atsauci uz vadlīnijām vai aprakstīt piemērus.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Prokofjeva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nekustamā īpašuma iegādes izmaksas, ieskaitot nekustamā īpašuma vērtēšanu tirgus cenas noteikšanai un nepieciešamās valsts nodevas, ja nekustamā īpašuma iegāde ir nepieciešama šo noteikumu 18.2. apakšpunktā minētās atbalstāmās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šādu izmaksu nepieciešamībai SAM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teritorijas labiekārtošanai izmaksas plāno tādā apmērā, lai atbilstoši normatīvajiem aktiem būvniecības jomā nodrošinātu būves nodošanu ekspluatācijā, izveidotu teritoriju atpūtas un brīvā laika pavadīšanai, rehabilitācijai un rekreācijai, kā arī nodrošinātu vides piekļūstamību šo noteikumu 3. punktā minētajām mērķa grupas personām un citiem teritorijas un būves lietotājiem;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projektu ar skaidrojumu par teritorijas labiekārtošanu, iespēju robežās norādot piemērus teritoriju atpūtas un brīvā laika pavadīšanai, rehabilitācijai un rekreācijai - kādi labiekārtošanas elementi un veidi tiks atbalstīti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Prokofjeva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19.2. apakšpunktā minētās netiešās attiecināmās izmaksas finansējuma saņēmējs plāno kā vienu izmaksu pozīciju, piemērojot netiešo izmaksu vienoto likmi 15 procentu apmērā no šo noteikumu 19.1. apakšpunktā minētajām tiešajām personāla izmaksām, kas radušās uz darba tiesisko attiecību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korektu atsauci uz MK apakšpunktu, jo 15 % netiešo izmaksu likmi rēķina no projekta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19.2. apakšpunktā minētās netiešās attiecināmās izmaksas finansējuma saņēmējs plāno kā vienu izmaksu pozīciju, piemērojot netiešo izmaksu vienoto likmi 15 procentu apmērā no šo noteikumu 20.1. apakšpunktā minētajām tiešajām personāla izmaksām, kas radušās uz darba tiesisko attiecību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ar skaidrojumu, norādot, ka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nodrošina, ka projektā plānotās atbalstāmās darbības netiek finansētas vai līdzfinansētas, kā arī tās nav plānots finansēt vai līdzfinansēt no citiem valsts, pašvaldības vai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37.1.apakšpunktu, nosakot, ka finansējuma saņēmējs uzņemas segt sadārdzinājumu, kā arī nodrošina dubultā finansējuma neiestāšanos.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nodrošināma nepārklāšanās ne tikai ar citiem finanšu atbalsta instrumentiem, bet arī nodrošināms, ka konkrēta darbība projekta īstenošanai piešķirtā finansējuma ietvaros netiek finansēta dubultā.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37.3. publiskos iepirkumus veic saskaņā ar normatīvajiem aktiem publisko iepirkumu jomā, īstenojot konkurenci nodrošinošu, pārredzamu, atklātu, nediskriminējošu konkursa procedūru un, kur tas ir attiecināms, īsteno sociāli atbildīgus un inovatīvus iepirkumus;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piemērot zaļo publisko iepirkumu, lai veicinātu Eiropas Zaļā kursa un klimata pārmaiņu mērķu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saņēmējam ir aizliegts pasākuma ietvaros izveidoto sabiedrībā balstīto sociālo pakalpojumu infrastruktūru pasākuma īstenošanas un šo noteikumu 37.10. apakšpunktā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3. punktā minētajām mērķa grupas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infrastruktūru pašvaldības funkciju veikšanai bezatlīdzības lietošanā var nodot ar deleģēšanas līgumu. Lūdzam svītrot normu par iepirkumu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Lauva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ietekmi uz horizontālā principa “Nenodarīt būtisku kaitējumu”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svītrot anotācijas 1.3. sadaļa apakšsadaļā "Risinājuma apraksts" pēdējā rindkopā norādīto 4.3.1.5. pasākuma 1.kārtu, ņemot vērā, ka 4.3.1.5. pasākums nav plānots īstenot kārtās.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kādiem līdzekļiem tiks nodrošināta pasākuma rezultātu/rādītāju ilgtspēja.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ieguldījumi plānoti saskaņā ar Jauno Eiropas Bauhaus iniciatīvu, ņemot vērā, ka noteikumu projekts paredz ieguldījumus jaunā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noteikts, ka gadījumā, ja trīs pašvaldību iesniegtie projektu iesniegumi kopsummā būs mazāki par 4.3.1.5. pasākumam pieejamo attiecināmo finansējumu un valsts budžeta priekšfinansējumu (elastības finansējuma apmērs), atlases ietvaros varēs piedāvāt iesniegt projekta iesniegumu nākamajai pašvaldībai ar lielāko mērķa grupas personu un kopējo iedzīvotāju skaitu, vienlaikus projektu īstenojot samazinātā apmērā, t.i., par finansējumu, kas kopsummā nepārsniedz 4.3.1.5. pasākuma pieejamā finansējuma un valsts budžeta priekšfinansējuma kopējo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sasniedzamajiem rādītājiem (izveidojamo pakalpojumu apmēru) gadījumā, kad projekts tiks īstenots samazinātā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Lauva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noteikts, ka ņemot vērā, ka 4.3.1.5. pasākumam ir plānots elastības finansējums 3 987 156 euro apmērā (tai skaitā ERAF finansējums 3 389 083 euro un pašvaldības budžeta elastības finansējums 598 073 euro), 4.3.1.5. pasākumam sākotnēji projektu īstenošanai pieejamais attiecināmais finansējums ir 7 750 964 euro, tai skaitā Eiropas Reģionālās attīstības fonda (turpmāk – ERAF) finansējums 6 588 319 euro un pašvaldību budžeta līdzfinansējumu 1 162 645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atrunāta situācija gadījumā, ja tiks iesniegti 3 projekti, kas pārsniedz pieejamo finansējumu. Priekšlikumums papildināt ar informāciju, gadījumā, ja tiks iesniegti projekti, kas pārsniedz kopējo pieejamo finansējumu vai noteikt maksimālo vienam projektam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Lauva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2.1.sadaļas apakšsadaļu "Juridiskās personas" un atbilstošo apakšsadaļu "Ietekmes apraksts" ar norādi uz Labklājības ministriju, kura pildīs atbildīgās iestādes funkcijas, un pašvaldībām un to izveidotiem sociālo pakalpojumu sniedzējiem, kuri pildīs finansējuma saņēmēja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kurā Finanšu ministrijas pamatbudžeta apakšprogrammā tiks plānots finansējums noteikumu projektā paredzēto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"Nevalstiskās organizācijas". Lūdzam papildināt anotāciju ar informāciju par biedrību un nodibinājumu iesaisti, nevalstisko organizāciju iesaisti MK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37.9.apakšpunktā minēto, lūdzam ar atbilstošu informāciju papildināt anotācijas 8.1.13.apakšsadaļu.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29.11.2023. 23.01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29.11.2023. 23.01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