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pirmās kārtas mērķa grupa ir Latvijas iedzīvotāji, Iekšlietu ministrija, Valsts ugunsdzēsības un glābšanas dienests, Iekšlietu ministrijas Informācijas centrs, katastrofas pārvaldīšanas subjekti, tūristi, kas viesojas Latvijā, apdrošināšanas kompānijas, kas strādā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jēdziena “katastrofas pārvaldīšanas subjekti”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ar projekta darbībām tieši saistīto publicitātes un vizuālās identitātes pasākumu izmaksas, kas veiktas atbilstoši Eiropas Parlamenta un Padomes Regulai (ES) 2021/241 (2021. gada 12. februāris), ar ko izveido Atveseļošanas un noturības mehānismu 34. panta 2.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aktul; tiesību akta pieņemšanas datums; veids (regula, direktīva, lēmums); numurs un nosaukums atbilstoši tiesību akta nosaukumam latviešu valodā EUR-Lex datu bāzē.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ar projekta darbībām tieši saistīto publicitātes un vizuālās identitātes pasākumu izmaksas, kas veiktas atbilstoši Eiropas Parlamenta un Padomes 2021. gada 12. februāra Regulas (ES) 2021/241, ar ko izveido Atveseļošanas un noturības mehānismu 34. panta 2.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Sadarbības partneris nodrošina to darbību īstenošanu, kas attiecas uz tā atbildības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28. punktu ar konkrētām darbībām, kas jānodrošina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nodrošina, ka pirmās kārtas īstenošanas pabeigšanas brīdī pirmās kārtas ietvaros izveidotā vai attīstītā informācijas sistēma vai izveidotais vai pilnveidotais elektroniskais pakalpojums ir ieviests produktīvajā darbībā atbilstoši apstiprinātajam projekta iesniegumam.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Noradām, ka noteikumu projekta 2. punktā norādīts, ka pasākuma pirmās kārtas mērķis ir valsts agrīnās brīdināšanas sistēmas ietvaros ieviest sabiedrības brīdināšanas risinājumu par tiešiem un draudošiem ārkārtas notikumiem, kas ļauj nosūtīt brīdinājumu, izmantojot šūnu apraides tehnoloģiju (turpmāk – ABS+ projekts), kā arī izstrādāt un ieviest informācijas sistēmu, kas ļaus veikt notikuma analīzi par zaudējuma apmēriem, izstrādāt rīcības programmas, plānus un tiesību aktus, plānot pasākumus un resursus, lai novērstu vai mazinātu apdraudējuma atgadīšanos, ka arī, lai izpildītu Latvijas starptautiskās apņemšanās (turpmāk – KaZa projekts). Kā arī noteikumu projekta 14. punktā noradīts, ka atbalstāma sistēmu iegāde un izstrāde. Pirmšķietami noteikumu projektā paredzēts atbalsts jaunas sistēmas iegādei un izstrādei un projekts neparedz iespēju attīstīt un papildināt jau esošu sistēmu,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30. punktā redakcija, kurā minēta “attīstītā informācijas sistēma” un “pilnveidotais elektroniskais pakalpojums”, nesaskan ar citviet noteikumu projektā norādīto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noteikumu projekta 30. punktu vai lūdzam papildināt noteikumu projektu ar atbalstāmajām darbībām, kas paredz iespēju attīstīt informācijas sistēmu un pilnveidot elektronisko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 noteikumu projekta nav saprotams, vai finisējuma saņēmējam ir izvēles brīvība projekta ietvaros izveidot jaunu informācijas sistēmu un elektronisko pakalpojumu vai attīstīt jau esošo sistēmu,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finansējuma saņēmējam projekta iesniegumā būtu jāpamato izvēle, lietderība  izvedot jaunu sistēmu vai attīstīt esošo informācijas sistēmu, vai izveidot jaunu elektronisko pakalpojumu vai pilnveidot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saņēmējam ir pienākums izstrādāt nosacījumus, kas paredz kārtību, kādā tiks nodrošināta interešu konflikta neesamība,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32. punktu ar termiņu, periodu, kādā finansējuma saņēmējam ir pienākums izstrādāt nosacījumus, kas paredz kārtību, kādā tiks nodrošināta interešu konflikta neesamība,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saņēmējam ir pienākums pirms pirmās projektu iesniegumu atlases kārtas izsludināšanas izstrādāt nosacījumus, kas paredz kārtību, kādā tiks nodrošināta interešu konflikta neesamība,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anotāciju atbilstoši Ministru kabineta 2009. gada 7. aprīļa noteikumu Nr. 300 „Ministru kabineta kārtības rullis” 3. punktam, kas noteic, ka Ministru kabineta noteikumu projektam pievieno anotāciju, kurā aizpildīta vismaz sadaļa par tiesību akta projekta nepieciešamību, tas ir, anotācijas I. sadaļa, bet pārējās anotācijas sadaļas aizpilda, ja tiesību akta projekts skar attiecīgajā anotācijas sadaļā minētos jautājumus. Norādām, ka Tieslietu ministrijai nav iespējams precīzi izvērtēt, kuras noteikumu projekta normas ir pārņemtas atbilstoši attiecīgo Eiropas Savienības tiesību aktu normām. Turklāt svarīgi pie noteikumu projekta norādīt, kāpēc papildu Eiropas Savienības normām noteikumu projektā ir ietvertas normas no nacionālajiem tiesību aktiem. Lai noteikumu projekts nebūtu pretrunā Eiropas Savienības prasībām, skaidri jānorāda juridiskais pamats, kas ļauj dalībvalstīm pieņemt papildu normas. Ņemot vērā minēto, Tieslietu ministrija varēs sniegt precīzu izvērtējumu par noteikumu projekta atbilstību Eiropas Savienības tiesību aktiem pēc anotācijas precizēšanas.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norādītas neprecīzas vei neesošas projekta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29.03.2023.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29.03.2023.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