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projektam nav ietekmes uz valsts budžetu, savukārt minētās sadaļas punktā “Cita informācija” norādīts, ka noteikumu projektā paredzētās izmaiņas attiecībā uz rezidentūras programmas ilgumu tiks īstenotas piešķirtā valsts budžeta ietvaros un mērķētās ultrasonogrāfijas pakalpojuma izveidei būs nepieciešams papildu valsts budžeta finansējums. Ņemot vērā minēto, nav saprotams, vai noteikumu projektā paredzētais tiks nodrošināts Veselības ministrijai piešķirto valsts budžeta līdzekļu ietvaros. Vienlaikus norādām, ka atbilstoši Ministru kabineta 18.06.2024. sēdes protokola Nr.25 74.§ 2.punktam likumprojekta “Par valsts budžetu 2025. gadam un budžeta ietvaru 2025., 2026. un 2027. gadam” sagatavošanā kā vienīgais vidēja termiņa budžeta prioritārais attīstības virziens noteikts valsts drošība un atbilstoši 4.punktam citu vidēja termiņa budžeta prioritāro attīstības virzienu noteikšana iespējama, pārskatot ministriju un citu centrālo valsts iestāžu esošo budžeta programmu/ apakšprogrammu izdevumus, un, pārvirzot resursus aktuālākiem prioritārajiem pasākumiem, vai, rodot papildu finansējuma avotus, attiecīgi sagatavojot fiskāli neitrālus priekšlikumus jaunu prioritāro pasākumu finansēšanai. Līdz ar to nepieciešams precizēt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04.07.2024.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04.07.2024.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Atzinumi_23-TA-3092.docx</dc:title>
</cp:coreProperties>
</file>

<file path=docProps/custom.xml><?xml version="1.0" encoding="utf-8"?>
<Properties xmlns="http://schemas.openxmlformats.org/officeDocument/2006/custom-properties" xmlns:vt="http://schemas.openxmlformats.org/officeDocument/2006/docPropsVTypes"/>
</file>