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 Lai nodrošinātu efektīvu resursu izmantošanu un veselības aprūpes pakalpojumu pieejamību, ņemot vērā slimnīcu tīkla reformas plānošanas un ieviešanas periodā izvirzītos mērķus, dienestam ir tiesības 2027. un 2028. gadā, pamatojoties uz ārstniecības iestādes rakstveida iesniegumu, stacionārās veselības aprūpes pakalpojumu samaksai paredzētos finanšu līdzekļus novirzīt ambulatorās veselības aprūpes pakalpojumu samaksai, ja ārstniecības iestāde sniedz gan ambulatorās, gan stacionārās veselības aprūpes pakalpojumus, neievērojot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pielikumā</w:t>
            </w:r>
            <w:r w:rsidR="00000000" w:rsidRPr="00000000" w:rsidDel="00000000">
              <w:rPr>
                <w:rtl w:val="0"/>
              </w:rPr>
              <w:t xml:space="preserve"> noteikto kārtību, ja finansējuma pārvirzīšana ir pamatota ar nepieciešamību nodrošināt veselības aprūpes pakalpojumu pēctecību, attīstīt ambulatoros pakalpojumus, kas aizstāj stacionāros pakalpojumus, vai uzlabot pakalpojumu pieejamību teritorijā, kur attiecīgais ambulatorais pakalpojums nav pieejams vai ir nepietiekami pieejams.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uztur savu iepriekš izteikto iebildumu, vienlaikus aicinām ņemt vērā VADDA izteikto iebildumu par lēmuma par stacionārās veselības aprūpes pakalpojumu samaksai paredzēto finanšu līdzekļu novirzīšanu ambulatorās veselības aprūpes pakalpojumu samaksai publiskošanas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Antis Apsītis (KP)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24.07.2026.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24.07.2026.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Atzinumi_26-TA-1067.docx</dc:title>
</cp:coreProperties>
</file>

<file path=docProps/custom.xml><?xml version="1.0" encoding="utf-8"?>
<Properties xmlns="http://schemas.openxmlformats.org/officeDocument/2006/custom-properties" xmlns:vt="http://schemas.openxmlformats.org/officeDocument/2006/docPropsVTypes"/>
</file>