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 1.2.1. specifiskā atbalsta mērķa “Pētniecības un inovāciju kapacitātes stiprināšana un progresīvu tehnoloģiju ieviešana uzņēmumiem”1.2.1.3. pasākuma "Uzņēmuma atbalsts dalībai kapitāla tirgos"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8.2.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precizēt/papildināt sadaļu ar informāciju, ka  projekta  iesniegumu vērtēšanā tiks piemērots HP VINPI specifiskais atbilstības kritērijs. Kritērijā tiks vērtēts, vai projekta iesniegumā ir paredzēta vismaz viena </w:t>
            </w:r>
            <w:r w:rsidR="00000000" w:rsidRPr="00000000" w:rsidDel="00000000">
              <w:rPr>
                <w:b w:val="1"/>
                <w:rtl w:val="0"/>
              </w:rPr>
              <w:t xml:space="preserve">vispārīgā </w:t>
            </w:r>
            <w:r w:rsidR="00000000" w:rsidRPr="00000000" w:rsidDel="00000000">
              <w:rPr>
                <w:rtl w:val="0"/>
              </w:rPr>
              <w:t xml:space="preserve">HP VINPI darbība.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Vilcāne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30.06.2023.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30.06.2023.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