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ietvertos skaidrojumus, atkārtoti aicinām izvērtēt, vai noteikumu projektā ietverts pilnīgs un pietiekams tiesiskais regulējums. Piemēram, anotācijā ietverts šāds skaidrojums: "A</w:t>
            </w:r>
            <w:r w:rsidR="00000000" w:rsidRPr="00000000" w:rsidDel="00000000">
              <w:rPr>
                <w:i w:val="1"/>
                <w:rtl w:val="0"/>
              </w:rPr>
              <w:t xml:space="preserve">tbalsta maksimālo apmēru saskaņā ar Komisijas Paziņojuma “Pamatnostādnes par valsts atbalstu lauksaimniecības un mežsaimniecības nozarē un lauku apvidos” 99.-101. punktu var noteikt trīs alternatīvos veidos: [..] Atkarībā no komersanta pieteiktā investīciju projekta specifikas, komersants pats var izvēlēties, kuru no veidiem izvēlēties, lai pamatotu atbalsta nepieciešamību un konstatētu atbalsta apmēru, bez kā projekts netiktu īstenots pilnībā vai konkrētā daļa.</w:t>
            </w:r>
            <w:r w:rsidR="00000000" w:rsidRPr="00000000" w:rsidDel="00000000">
              <w:rPr>
                <w:rtl w:val="0"/>
              </w:rPr>
              <w:t xml:space="preserve">" Vienlaikus konstatējams, ka noteikumu projekts šādu regulējumu nesatur. Attiecīgi aicinām izvērtēt un papildināt noteikumu projektu vai sniegt skaidrojumu, kādēļ tas nav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30.09.2025.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30.09.2025.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