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atsevišķi atvieglojumi, kas paredzēti noteiktām sabiedrības grupām vai atsevišķām nozarēm, uzņēmējdarbības jomām u.tml. (piemēram, zemnieki, daudzbērnu ģimenes u.c.) var tikt piemēroti un tiek piemēroti atsevišķu nodokļu vai nodevu atvieglojumu veidā, piemēram, atvieglojumi transportlīdzekļu ekspluatācijas nodokli, autoceļu lietošanas nodevai (vinjetei) u.c., taču netiek piemēroti atvieglojumi atsevišķu pakalpojumu saņemšanas izmaksām, tostarp maksai par tehnisko apskati.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piekrīt, ka tiktu izvērtēta ietekme paredzēt atvieglojumus autoveikalu darbībai nodokļu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nodevu jomā, taču ne atsevišķu pakalpojumu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Satiksme ministrija pauž bažas, ka nosakot šādus īpašus atvieglojumus nodokļu jomā iepriekš minētajiem tirdzniecības uzņēmumiem vai uzņēmējiem, kas izmanto transportlīdzekļus preču piegādei attālinātos lauku apvidos, būtu arī jāizvērtē kritēriji, kādiem jāatbilst šiem transportlīdzekļiem (kravas, vieglais pasažieru, vieglais kravas), vai tie ir specifiski aprīkoti u.tml. Respektīvi, nosakot atvieglojumus, jāparedz arī risinājums, lai nodokļu atvieglojumi tiktu noteikti tikai tiem transportlīdzekļiem, kas tiek izmantoti noteiktajai uzņēmējdarbībai noteiktajā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plāna projekta 4.7. uzdevuma (15. lpp.) izpētes virzienu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attiecībā uz nodokļu/nodevu atvieglojumiem (piemēram, samazināts akcīzes nodoklis degvielai, samazināta autoceļu lietošanas nodeva (vinjete), transportlīdzekļu ekspluatācijas nodoklis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ar pasta pakalpojumiem saistīto darbību iekļaušanu plāna projektā. Saskaņā ar plāna projekta sākotnēji identificētās problēmas aprakstā minēto informāciju, </w:t>
            </w:r>
            <w:r w:rsidR="00000000" w:rsidRPr="00000000" w:rsidDel="00000000">
              <w:rPr>
                <w:u w:val="single"/>
                <w:rtl w:val="0"/>
              </w:rPr>
              <w:t xml:space="preserve">plāna mērķis</w:t>
            </w:r>
            <w:r w:rsidR="00000000" w:rsidRPr="00000000" w:rsidDel="00000000">
              <w:rPr>
                <w:rtl w:val="0"/>
              </w:rPr>
              <w:t xml:space="preserve"> ir birokrātijas mazināšanas un </w:t>
            </w:r>
            <w:r w:rsidR="00000000" w:rsidRPr="00000000" w:rsidDel="00000000">
              <w:rPr>
                <w:u w:val="single"/>
                <w:rtl w:val="0"/>
              </w:rPr>
              <w:t xml:space="preserve">prasību pārskatīšana tirdzniecības jomā, </w:t>
            </w:r>
            <w:r w:rsidR="00000000" w:rsidRPr="00000000" w:rsidDel="00000000">
              <w:rPr>
                <w:rtl w:val="0"/>
              </w:rPr>
              <w:t xml:space="preserve">un ka papildus tiks meklēti risinājumi atbalsta sniegšanai mazajiem tirgotājiem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plāna projektu un tā pielikumu, Satiksmes ministrija ir konstatējusi, ka p</w:t>
            </w:r>
            <w:r w:rsidR="00000000" w:rsidRPr="00000000" w:rsidDel="00000000">
              <w:rPr>
                <w:u w:val="single"/>
                <w:rtl w:val="0"/>
              </w:rPr>
              <w:t xml:space="preserve">lāna projekts paredz darbības, kas ir Satiksmes ministrijas kompetencē,</w:t>
            </w:r>
            <w:r w:rsidR="00000000" w:rsidRPr="00000000" w:rsidDel="00000000">
              <w:rPr>
                <w:rtl w:val="0"/>
              </w:rPr>
              <w:t xml:space="preserve"> proti, plāna projekta 4.3. uzdevums paredz veikt izvērtējumu par iespēju veicināt publisko-privāto partnerību/vienas pieturas aģentūras principu iedzīvināšanu mazapdzīvotās vietās. Piemēram, mazumtirdzniecības uzņēmumiem mazapdzīvotās vietās </w:t>
            </w:r>
            <w:r w:rsidR="00000000" w:rsidRPr="00000000" w:rsidDel="00000000">
              <w:rPr>
                <w:u w:val="single"/>
                <w:rtl w:val="0"/>
              </w:rPr>
              <w:t xml:space="preserve">nodrošināt </w:t>
            </w:r>
            <w:r w:rsidR="00000000" w:rsidRPr="00000000" w:rsidDel="00000000">
              <w:rPr>
                <w:rtl w:val="0"/>
              </w:rPr>
              <w:t xml:space="preserve">iedzīvotājiem arī attiecīgus </w:t>
            </w:r>
            <w:r w:rsidR="00000000" w:rsidRPr="00000000" w:rsidDel="00000000">
              <w:rPr>
                <w:u w:val="single"/>
                <w:rtl w:val="0"/>
              </w:rPr>
              <w:t xml:space="preserve">valsts un pašvaldību bāzes pakalpojumus (piemēram, pasta pakalpojumi, </w:t>
            </w:r>
            <w:r w:rsidR="00000000" w:rsidRPr="00000000" w:rsidDel="00000000">
              <w:rPr>
                <w:rtl w:val="0"/>
              </w:rPr>
              <w:t xml:space="preserve">maznodrošināto atbalsta izmaksa preču kuponu veidā, pārtikas pakas u.tml.). Plāna projektam pievienotais Ministru kabineta rīkojuma projekts paredz Ekonomikas ministrijai nodrošināt plāna ieviešanas vadību un koordināciju, bet plāna projektā norādītajām atbildīgajām institūcijām sadarbībā ar līdzatbildīgajām institūcijām un citiem plāna īstenotājiem līdz 2026. gada 1. jūnijam nodrošināt plānā paredzēto pasākumu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pasta pakalpojumi nav ne valsts, ne pašvaldību bāzes pakalpojumi, kā tas minēts plāna projektā. Līdz ar lūdzam svītrot plāna projekta</w:t>
            </w:r>
            <w:r w:rsidR="00000000" w:rsidRPr="00000000" w:rsidDel="00000000">
              <w:rPr>
                <w:b w:val="1"/>
                <w:rtl w:val="0"/>
              </w:rPr>
              <w:t xml:space="preserve"> </w:t>
            </w:r>
            <w:r w:rsidR="00000000" w:rsidRPr="00000000" w:rsidDel="00000000">
              <w:rPr>
                <w:u w:val="single"/>
                <w:rtl w:val="0"/>
              </w:rPr>
              <w:t xml:space="preserve">4. nodaļas 6.rindkopā</w:t>
            </w:r>
            <w:r w:rsidR="00000000" w:rsidRPr="00000000" w:rsidDel="00000000">
              <w:rPr>
                <w:rtl w:val="0"/>
              </w:rPr>
              <w:t xml:space="preserve"> (10.lpp.) iekavās sniegtās informācija starpā vārdus “pasta pakalpojumi”, kā arī svītrot šajā rindkopā pēdējos divus teikumus. Attiecīgi lūdzam svītrot plāna projekta 1. pielikumā 4.3.uzdevumā (14.lpp.) vārdus “pasta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pasta pakalpojumi ir regulējamie sabiedriskie pakalpojumi, un tos regulē Pasta likums. Saskaņā ar Pasta likuma 27.</w:t>
            </w:r>
            <w:r w:rsidR="00000000" w:rsidRPr="00000000" w:rsidDel="00000000">
              <w:rPr>
                <w:vertAlign w:val="superscript"/>
                <w:rtl w:val="0"/>
              </w:rPr>
              <w:t xml:space="preserve">1</w:t>
            </w:r>
            <w:r w:rsidR="00000000" w:rsidRPr="00000000" w:rsidDel="00000000">
              <w:rPr>
                <w:rtl w:val="0"/>
              </w:rPr>
              <w:t xml:space="preserve"> pantu universālā pasta pakalpojuma nodrošināšanai Sabiedrisko pakalpojumu regulēšanas komisija nosaka kvalitātes prasības, tostarp prasības pasta pakalpojumu sniegšanas vietu skaitam un izvietojumam.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28. pants nosaka regulējumu par universālā pasta pakalpojuma starpniecības iespējām,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Universālā pasta pakalpojuma sniedzējam, saglabājot atbildību par universālā pasta pakalpojuma sniegšanu, ir tiesības nodrošināt šā pakalpojuma pieejamību, izmantojot starpnieku. Šis starpnieks pakalpojumus sniedz attiecīgā pasta komersanta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pasta pakalpojuma starpniecība var ietvert iekšzemes un pārrobežu vēstuļu korespondences, pasta paku pieņemšanu, pasta sūtījumu pavaddokumentu aizpildīšanas nodrošināšanu, reģistrēšanu, izsniegšanu, citu ar universālā pasta pakalpojuma sniegšanu saistītu darbību nodrošināšanu un pakalpojumu maksas iekasēšanu pasta pakalpojumu sniegšanas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Universālā pasta pakalpojuma sniedzēja un tā starpnieka attiecības nosaka normatīvie akti, kuri regulē darījumus, un savstarpēji noslēgtie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u w:val="single"/>
                <w:rtl w:val="0"/>
              </w:rPr>
              <w:t xml:space="preserve">primāri jautājums par iespējām nodot vai nenodot starpniecībā pasta pakalpojumus mazumtirdzniecības vietās, ir universālā pasta pakalpojuma sniedzēja izšķiršanās, un to nevar noteikt citu nozaru regulējumā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izpildot Ministru kabineta uzdotos uzdevumus, Satiksmes ministrija ir izstrādājusi un virza saskaņošanai informatīvā ziņojuma projektu “Par universālā pasta pakalpojuma nodrošināšanu” (25-TA-3119). Minētais ziņojums paredz pasākumu plānu, lai līdz 2026. gada 30. decembrim vērtētu ar universālā pasta pakalpojuma sniegšanu saistītos jautājumus, izstrādājot risinājumus, lai mazinātu slogu uz valsts budžetu. Šim nolūkam tiek izveidota darba grupa, kurā piedalīsies pārstāvji no iesaistītām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Pakule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23.01.2026.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23.01.2026.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