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22-TA-2945: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"Notekūdeņu dūņu apsaimniekošanas stratēģija 2023.-2028.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(Pirmās starpinstitūciju saskaņošanas laikā ārpus TAP saņemtie iebildumi un atbildes uz 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Notekūdeņu dūņu apsaimniekošanas plāns 2024.-2027.gadam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Iebilstam un lūdzam</w:t>
            </w:r>
            <w:r w:rsidR="00000000" w:rsidRPr="00000000" w:rsidDel="00000000">
              <w:rPr>
                <w:rtl w:val="0"/>
              </w:rPr>
              <w:t xml:space="preserve"> </w:t>
            </w:r>
            <w:r w:rsidR="00000000" w:rsidRPr="00000000" w:rsidDel="00000000">
              <w:rPr>
                <w:b w:val="1"/>
                <w:rtl w:val="0"/>
              </w:rPr>
              <w:t xml:space="preserve">pamatot </w:t>
            </w:r>
            <w:r w:rsidR="00000000" w:rsidRPr="00000000" w:rsidDel="00000000">
              <w:rPr>
                <w:rtl w:val="0"/>
              </w:rPr>
              <w:t xml:space="preserve">Ekonomikas ministrijai noteiktās līdzatbildības un šo līdzatbildību ietvaros veicamās darbības (argumentēts skaidrojums) par plāna 5.4. tabulā “Kopsavilkums par 2024.–2027. gadā nepieciešamajiem pasākumiem notekūdeņu dūņu apsaimniekošanas plānā paredzētās organizatoriskās kārtības un infrastruktūras izveidei” 1.1.1. pasākuma darbības rezultātiem a), b), c); 1.1.2. pasākuma darbības rezultātiem a), c); 1.3.1. pasākuma darbības rezultātu 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Belte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Notekūdeņu dūņu apsaimniekošanas plāns 2024.-2027.gadam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Iebilstam</w:t>
            </w:r>
            <w:r w:rsidR="00000000" w:rsidRPr="00000000" w:rsidDel="00000000">
              <w:rPr>
                <w:rtl w:val="0"/>
              </w:rPr>
              <w:t xml:space="preserve"> pret Ekonomikas ministrijai noteikto atbildību plāna 5.4. tabulā “Kopsavilkums par 2024.–2027. gadā nepieciešamajiem pasākumiem notekūdeņu dūņu apsaimniekošanas plānā paredzētās organizatoriskās kārtības un infrastruktūras izveidei” 1.1.2. pasākuma “Precizēt notekūdeņu dūņu apsaimniekošanas vietu ūdenssaimniecības sabiedrisko pakalpojumu ietvarā” darbības “b) Veikti grozījumi MK noteikumos Nr. 1227” (turpmāk – Darbība “b”) izpildei. Vēršam uzmanību, ka nozares ministrija, kas atbildīga par notekūdeņu dūņu apsaimniekošanas jautājuma virzību, nepieciešamības gadījumā nodrošina normatīvo aktu izstrādi vai to grozījumu veikšanu, tostarp attiecībā uz normatīvo aktu izstrādi vai grozījumu veikšanu regulējamiem notekūdeņu dūņu apsaimniekošanas sabiedrisko pakalpojumu veidiem. Tādējādi svītrojama Ekonomikas ministrijas atbildība par Darbības “b” īstenošanu un kā atbildīgā ministrija par grozījumu izstrādi Ministru kabineta 2009. gada 27. oktobra noteikumos Nr. 1227 “Noteikumi par regulējamiem sabiedrisko pakalpojumu veidiem” nosakāma Vides aizsardzības un reģionālās attīstības ministrija. Ja Ekonomikas ministrija tiek noteikta kā līdzatbildīga par Darbības “b” īstenošanu, lūdzam pamatot noteikto līdzatbildību un šīs līdzatbildības ietvaros veicamās darbības (argumentēts skaidrojums).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Belte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22-TA-2945</w:t>
    </w:r>
    <w:r>
      <w:br/>
    </w:r>
    <w:r w:rsidR="00000000" w:rsidRPr="00000000" w:rsidDel="00000000">
      <w:rPr>
        <w:rtl w:val="0"/>
      </w:rPr>
      <w:t xml:space="preserve">Izdrukāts 28.12.2023. 11.59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22-TA-2945</w:t>
    </w:r>
    <w:r>
      <w:br/>
    </w:r>
    <w:r w:rsidR="00000000" w:rsidRPr="00000000" w:rsidDel="00000000">
      <w:rPr>
        <w:rtl w:val="0"/>
      </w:rPr>
      <w:t xml:space="preserve">Izdrukāts 28.12.2023. 11.59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Atzinumi_22-TA-2945.docx</dc:title>
</cp:coreProperties>
</file>

<file path=docProps/custom.xml><?xml version="1.0" encoding="utf-8"?>
<Properties xmlns="http://schemas.openxmlformats.org/officeDocument/2006/custom-properties" xmlns:vt="http://schemas.openxmlformats.org/officeDocument/2006/docPropsVTypes"/>
</file>