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Jaunatnes politikas īstenošanas plāns 2025.–2027.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"III Politikas rezultāti un rezultatīvie rādītāji" rādītāja "4.1.Jauniešu īpatsvars, kuri nav saskārušies ar diskrimināciju (aptaujas dalībnieki, kuri norāda, ka nav saskārušies ar diskrimināciju), % vērtībai" kā bāzes vērtība norādīta 2024.gadā veiktās aptaujas faktiskais rezultāts (53,3%), kas būtiski pārsniedz sākotnēji Bērnu, jaunatnes un ģimenes attīstības pamatnostādnēs 2021.-2027. gadam plānoto vērtību - 37%, un tādējādi veidojas pretrunīga situācija attiecībā pret plānoto vērtību 2026.gadam (40%). Lūdzam pie rādītāja vērtībām attiecīgi pievienot skaidrojošu atsauci.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Solveiga Siliņa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