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23-TA-251: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kancelejas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Lai nodrošinātu šo noteikumu </w:t>
            </w:r>
            <w:r w:rsidR="00000000" w:rsidRPr="00000000" w:rsidDel="00000000">
              <w:rPr>
                <w:rtl w:val="0"/>
              </w:rPr>
              <w:t xml:space="preserve">3. </w:t>
            </w:r>
            <w:r w:rsidR="00000000" w:rsidRPr="00000000" w:rsidDel="00000000">
              <w:rPr>
                <w:rtl w:val="0"/>
              </w:rPr>
              <w:t xml:space="preserve">punktā</w:t>
            </w:r>
            <w:r w:rsidR="00000000" w:rsidRPr="00000000" w:rsidDel="00000000">
              <w:rPr>
                <w:rtl w:val="0"/>
              </w:rPr>
              <w:t xml:space="preserve"> minēto funkciju izpildi, Valsts kanceleja: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Kopš 2019. gada 1. maija, kad spēkā stājās Trauksmes celšanas likums, Valsts kanceleja ir arī trauksmes cēlēju kontaktpunkts. Tā loma ir koordinēt trauksmes celšanas mehānismu izveidi valstī un veicināt trauksmes celšanu un sabiedrības izpratni.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nepieciešamības gadījumā papildināt noteikumu projekta 4. punktu, paredzot, ka Valsts kanceleja pilda trauksmes cēlēju kontaktpunktam paredzētos uzdevumus.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Vecmane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23-TA-251</w:t>
    </w:r>
    <w:r>
      <w:br/>
    </w:r>
    <w:r w:rsidR="00000000" w:rsidRPr="00000000" w:rsidDel="00000000">
      <w:rPr>
        <w:rtl w:val="0"/>
      </w:rPr>
      <w:t xml:space="preserve">Izdrukāts 06.03.2023. 13.10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23-TA-251</w:t>
    </w:r>
    <w:r>
      <w:br/>
    </w:r>
    <w:r w:rsidR="00000000" w:rsidRPr="00000000" w:rsidDel="00000000">
      <w:rPr>
        <w:rtl w:val="0"/>
      </w:rPr>
      <w:t xml:space="preserve">Izdrukāts 06.03.2023. 13.10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Atzinumi_23-TA-251.docx</dc:title>
</cp:coreProperties>
</file>

<file path=docProps/custom.xml><?xml version="1.0" encoding="utf-8"?>
<Properties xmlns="http://schemas.openxmlformats.org/officeDocument/2006/custom-properties" xmlns:vt="http://schemas.openxmlformats.org/officeDocument/2006/docPropsVTypes"/>
</file>