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BD2D4" w14:textId="77777777" w:rsidR="00603434" w:rsidRPr="00603434" w:rsidRDefault="00603434" w:rsidP="00603434">
      <w:pPr>
        <w:tabs>
          <w:tab w:val="left" w:pos="3300"/>
        </w:tabs>
        <w:adjustRightInd w:val="0"/>
        <w:spacing w:after="0" w:line="240" w:lineRule="auto"/>
        <w:ind w:left="3300" w:hanging="3300"/>
        <w:rPr>
          <w:rFonts w:ascii="Calibri" w:hAnsi="Calibri" w:cs="Calibri"/>
          <w:color w:val="000000"/>
          <w:lang w:eastAsia="lv-LV"/>
        </w:rPr>
      </w:pPr>
      <w:proofErr w:type="spellStart"/>
      <w:r w:rsidRPr="00603434">
        <w:rPr>
          <w:rFonts w:ascii="Calibri" w:hAnsi="Calibri" w:cs="Calibri"/>
          <w:b/>
          <w:bCs/>
          <w:color w:val="000000"/>
          <w:lang w:eastAsia="lv-LV"/>
        </w:rPr>
        <w:t>From</w:t>
      </w:r>
      <w:proofErr w:type="spellEnd"/>
      <w:r w:rsidRPr="00603434">
        <w:rPr>
          <w:rFonts w:ascii="Calibri" w:hAnsi="Calibri" w:cs="Calibri"/>
          <w:b/>
          <w:bCs/>
          <w:color w:val="000000"/>
          <w:lang w:eastAsia="lv-LV"/>
        </w:rPr>
        <w:t>:</w:t>
      </w:r>
      <w:r w:rsidRPr="00603434">
        <w:rPr>
          <w:rFonts w:ascii="Calibri" w:hAnsi="Calibri" w:cs="Calibri"/>
          <w:b/>
          <w:bCs/>
          <w:color w:val="000000"/>
          <w:lang w:eastAsia="lv-LV"/>
        </w:rPr>
        <w:tab/>
      </w:r>
      <w:r w:rsidRPr="00603434">
        <w:rPr>
          <w:rFonts w:ascii="Calibri" w:hAnsi="Calibri" w:cs="Calibri"/>
          <w:color w:val="000000"/>
          <w:lang w:eastAsia="lv-LV"/>
        </w:rPr>
        <w:t>Amanda Mūrniece &lt;Amanda.Murniece@tm.gov.lv&gt;</w:t>
      </w:r>
    </w:p>
    <w:p w14:paraId="220414EA" w14:textId="77777777" w:rsidR="00603434" w:rsidRPr="00603434" w:rsidRDefault="00603434" w:rsidP="00603434">
      <w:pPr>
        <w:tabs>
          <w:tab w:val="left" w:pos="3300"/>
        </w:tabs>
        <w:adjustRightInd w:val="0"/>
        <w:spacing w:after="0" w:line="240" w:lineRule="auto"/>
        <w:ind w:left="3300" w:hanging="3300"/>
        <w:rPr>
          <w:rFonts w:ascii="Calibri" w:hAnsi="Calibri" w:cs="Calibri"/>
          <w:color w:val="000000"/>
          <w:lang w:eastAsia="lv-LV"/>
        </w:rPr>
      </w:pPr>
      <w:proofErr w:type="spellStart"/>
      <w:r w:rsidRPr="00603434">
        <w:rPr>
          <w:rFonts w:ascii="Calibri" w:hAnsi="Calibri" w:cs="Calibri"/>
          <w:b/>
          <w:bCs/>
          <w:color w:val="000000"/>
          <w:lang w:eastAsia="lv-LV"/>
        </w:rPr>
        <w:t>Sent</w:t>
      </w:r>
      <w:proofErr w:type="spellEnd"/>
      <w:r w:rsidRPr="00603434">
        <w:rPr>
          <w:rFonts w:ascii="Calibri" w:hAnsi="Calibri" w:cs="Calibri"/>
          <w:b/>
          <w:bCs/>
          <w:color w:val="000000"/>
          <w:lang w:eastAsia="lv-LV"/>
        </w:rPr>
        <w:t>:</w:t>
      </w:r>
      <w:r w:rsidRPr="00603434">
        <w:rPr>
          <w:rFonts w:ascii="Calibri" w:hAnsi="Calibri" w:cs="Calibri"/>
          <w:b/>
          <w:bCs/>
          <w:color w:val="000000"/>
          <w:lang w:eastAsia="lv-LV"/>
        </w:rPr>
        <w:tab/>
      </w:r>
      <w:r w:rsidRPr="00603434">
        <w:rPr>
          <w:rFonts w:ascii="Calibri" w:hAnsi="Calibri" w:cs="Calibri"/>
          <w:color w:val="000000"/>
          <w:lang w:eastAsia="lv-LV"/>
        </w:rPr>
        <w:t>pirmdiena, 30.  nov.. 2020.  gada  15:52</w:t>
      </w:r>
    </w:p>
    <w:p w14:paraId="11A31F44" w14:textId="77777777" w:rsidR="00603434" w:rsidRPr="00603434" w:rsidRDefault="00603434" w:rsidP="00603434">
      <w:pPr>
        <w:tabs>
          <w:tab w:val="left" w:pos="3300"/>
        </w:tabs>
        <w:adjustRightInd w:val="0"/>
        <w:spacing w:after="0" w:line="240" w:lineRule="auto"/>
        <w:ind w:left="3300" w:hanging="3300"/>
        <w:rPr>
          <w:rFonts w:ascii="Calibri" w:hAnsi="Calibri" w:cs="Calibri"/>
          <w:color w:val="000000"/>
          <w:lang w:eastAsia="lv-LV"/>
        </w:rPr>
      </w:pPr>
      <w:r w:rsidRPr="00603434">
        <w:rPr>
          <w:rFonts w:ascii="Calibri" w:hAnsi="Calibri" w:cs="Calibri"/>
          <w:b/>
          <w:bCs/>
          <w:color w:val="000000"/>
          <w:lang w:eastAsia="lv-LV"/>
        </w:rPr>
        <w:t>To:</w:t>
      </w:r>
      <w:r w:rsidRPr="00603434">
        <w:rPr>
          <w:rFonts w:ascii="Calibri" w:hAnsi="Calibri" w:cs="Calibri"/>
          <w:b/>
          <w:bCs/>
          <w:color w:val="000000"/>
          <w:lang w:eastAsia="lv-LV"/>
        </w:rPr>
        <w:tab/>
      </w:r>
      <w:r w:rsidRPr="00603434">
        <w:rPr>
          <w:rFonts w:ascii="Calibri" w:hAnsi="Calibri" w:cs="Calibri"/>
          <w:color w:val="000000"/>
          <w:lang w:eastAsia="lv-LV"/>
        </w:rPr>
        <w:t>VARAM</w:t>
      </w:r>
    </w:p>
    <w:p w14:paraId="39F32768" w14:textId="77777777" w:rsidR="00603434" w:rsidRPr="00603434" w:rsidRDefault="00603434" w:rsidP="00603434">
      <w:pPr>
        <w:tabs>
          <w:tab w:val="left" w:pos="3300"/>
        </w:tabs>
        <w:adjustRightInd w:val="0"/>
        <w:spacing w:after="0" w:line="240" w:lineRule="auto"/>
        <w:ind w:left="3300" w:hanging="3300"/>
        <w:rPr>
          <w:rFonts w:ascii="Calibri" w:hAnsi="Calibri" w:cs="Calibri"/>
          <w:color w:val="000000"/>
          <w:lang w:eastAsia="lv-LV"/>
        </w:rPr>
      </w:pPr>
      <w:proofErr w:type="spellStart"/>
      <w:r w:rsidRPr="00603434">
        <w:rPr>
          <w:rFonts w:ascii="Calibri" w:hAnsi="Calibri" w:cs="Calibri"/>
          <w:b/>
          <w:bCs/>
          <w:color w:val="000000"/>
          <w:lang w:eastAsia="lv-LV"/>
        </w:rPr>
        <w:t>Cc</w:t>
      </w:r>
      <w:proofErr w:type="spellEnd"/>
      <w:r w:rsidRPr="00603434">
        <w:rPr>
          <w:rFonts w:ascii="Calibri" w:hAnsi="Calibri" w:cs="Calibri"/>
          <w:b/>
          <w:bCs/>
          <w:color w:val="000000"/>
          <w:lang w:eastAsia="lv-LV"/>
        </w:rPr>
        <w:t>:</w:t>
      </w:r>
      <w:r w:rsidRPr="00603434">
        <w:rPr>
          <w:rFonts w:ascii="Calibri" w:hAnsi="Calibri" w:cs="Calibri"/>
          <w:b/>
          <w:bCs/>
          <w:color w:val="000000"/>
          <w:lang w:eastAsia="lv-LV"/>
        </w:rPr>
        <w:tab/>
      </w:r>
      <w:r w:rsidRPr="00603434">
        <w:rPr>
          <w:rFonts w:ascii="Calibri" w:hAnsi="Calibri" w:cs="Calibri"/>
          <w:color w:val="000000"/>
          <w:lang w:eastAsia="lv-LV"/>
        </w:rPr>
        <w:t>Ieva Griķe</w:t>
      </w:r>
    </w:p>
    <w:p w14:paraId="403B80FF" w14:textId="77777777" w:rsidR="00603434" w:rsidRPr="00603434" w:rsidRDefault="00603434" w:rsidP="00603434">
      <w:pPr>
        <w:tabs>
          <w:tab w:val="left" w:pos="3300"/>
        </w:tabs>
        <w:adjustRightInd w:val="0"/>
        <w:spacing w:after="0" w:line="240" w:lineRule="auto"/>
        <w:ind w:left="3300" w:hanging="3300"/>
        <w:rPr>
          <w:rFonts w:ascii="Calibri" w:hAnsi="Calibri" w:cs="Calibri"/>
          <w:color w:val="000000"/>
          <w:lang w:eastAsia="lv-LV"/>
        </w:rPr>
      </w:pPr>
      <w:proofErr w:type="spellStart"/>
      <w:r w:rsidRPr="00603434">
        <w:rPr>
          <w:rFonts w:ascii="Calibri" w:hAnsi="Calibri" w:cs="Calibri"/>
          <w:b/>
          <w:bCs/>
          <w:color w:val="000000"/>
          <w:lang w:eastAsia="lv-LV"/>
        </w:rPr>
        <w:t>Subject</w:t>
      </w:r>
      <w:proofErr w:type="spellEnd"/>
      <w:r w:rsidRPr="00603434">
        <w:rPr>
          <w:rFonts w:ascii="Calibri" w:hAnsi="Calibri" w:cs="Calibri"/>
          <w:b/>
          <w:bCs/>
          <w:color w:val="000000"/>
          <w:lang w:eastAsia="lv-LV"/>
        </w:rPr>
        <w:t>:</w:t>
      </w:r>
      <w:r w:rsidRPr="00603434">
        <w:rPr>
          <w:rFonts w:ascii="Calibri" w:hAnsi="Calibri" w:cs="Calibri"/>
          <w:b/>
          <w:bCs/>
          <w:color w:val="000000"/>
          <w:lang w:eastAsia="lv-LV"/>
        </w:rPr>
        <w:tab/>
      </w:r>
      <w:proofErr w:type="spellStart"/>
      <w:r w:rsidRPr="00603434">
        <w:rPr>
          <w:rFonts w:ascii="Calibri" w:hAnsi="Calibri" w:cs="Calibri"/>
          <w:color w:val="000000"/>
          <w:lang w:eastAsia="lv-LV"/>
        </w:rPr>
        <w:t>Atb</w:t>
      </w:r>
      <w:proofErr w:type="spellEnd"/>
      <w:r w:rsidRPr="00603434">
        <w:rPr>
          <w:rFonts w:ascii="Calibri" w:hAnsi="Calibri" w:cs="Calibri"/>
          <w:color w:val="000000"/>
          <w:lang w:eastAsia="lv-LV"/>
        </w:rPr>
        <w:t xml:space="preserve">.: Par MK noteikumu projektu "Noteikumi par īpašiem ierobežojumiem attiecībā uz darbībām ar ozona slāni noārdošām vielām un </w:t>
      </w:r>
      <w:proofErr w:type="spellStart"/>
      <w:r w:rsidRPr="00603434">
        <w:rPr>
          <w:rFonts w:ascii="Calibri" w:hAnsi="Calibri" w:cs="Calibri"/>
          <w:color w:val="000000"/>
          <w:lang w:eastAsia="lv-LV"/>
        </w:rPr>
        <w:t>fluorētām</w:t>
      </w:r>
      <w:proofErr w:type="spellEnd"/>
      <w:r w:rsidRPr="00603434">
        <w:rPr>
          <w:rFonts w:ascii="Calibri" w:hAnsi="Calibri" w:cs="Calibri"/>
          <w:color w:val="000000"/>
          <w:lang w:eastAsia="lv-LV"/>
        </w:rPr>
        <w:t xml:space="preserve"> siltumnīcefekta gāzēm” (VSS - 755)</w:t>
      </w:r>
    </w:p>
    <w:p w14:paraId="45D083AA" w14:textId="77777777" w:rsidR="00603434" w:rsidRPr="00603434" w:rsidRDefault="00603434" w:rsidP="00603434">
      <w:pPr>
        <w:spacing w:after="0" w:line="240" w:lineRule="auto"/>
        <w:rPr>
          <w:rFonts w:ascii="Calibri" w:hAnsi="Calibri" w:cs="Calibri"/>
          <w:lang w:eastAsia="lv-LV"/>
        </w:rPr>
      </w:pPr>
    </w:p>
    <w:p w14:paraId="6B57E01B" w14:textId="77777777" w:rsidR="00603434" w:rsidRPr="00603434" w:rsidRDefault="00603434" w:rsidP="00603434">
      <w:pPr>
        <w:spacing w:after="0" w:line="240" w:lineRule="auto"/>
        <w:rPr>
          <w:rFonts w:ascii="Calibri" w:eastAsia="Times New Roman" w:hAnsi="Calibri" w:cs="Calibri"/>
          <w:color w:val="000000"/>
          <w:sz w:val="24"/>
          <w:szCs w:val="24"/>
          <w:lang w:eastAsia="lv-LV"/>
        </w:rPr>
      </w:pPr>
      <w:r w:rsidRPr="00603434">
        <w:rPr>
          <w:rFonts w:ascii="Calibri" w:eastAsia="Times New Roman" w:hAnsi="Calibri" w:cs="Calibri"/>
          <w:color w:val="000000"/>
          <w:sz w:val="24"/>
          <w:szCs w:val="24"/>
          <w:lang w:eastAsia="lv-LV"/>
        </w:rPr>
        <w:t>Labdien,</w:t>
      </w:r>
    </w:p>
    <w:p w14:paraId="253D535D" w14:textId="77777777" w:rsidR="00603434" w:rsidRPr="00603434" w:rsidRDefault="00603434" w:rsidP="00603434">
      <w:pPr>
        <w:spacing w:after="0" w:line="240" w:lineRule="auto"/>
        <w:rPr>
          <w:rFonts w:ascii="Calibri" w:eastAsia="Times New Roman" w:hAnsi="Calibri" w:cs="Calibri"/>
          <w:color w:val="000000"/>
          <w:sz w:val="24"/>
          <w:szCs w:val="24"/>
          <w:lang w:eastAsia="lv-LV"/>
        </w:rPr>
      </w:pPr>
    </w:p>
    <w:p w14:paraId="3CB3CB76" w14:textId="77777777" w:rsidR="00603434" w:rsidRPr="00603434" w:rsidRDefault="00603434" w:rsidP="00897D2D">
      <w:pPr>
        <w:spacing w:after="0" w:line="240" w:lineRule="auto"/>
        <w:jc w:val="both"/>
        <w:rPr>
          <w:rFonts w:ascii="Calibri" w:eastAsia="Times New Roman" w:hAnsi="Calibri" w:cs="Calibri"/>
          <w:color w:val="000000"/>
          <w:sz w:val="24"/>
          <w:szCs w:val="24"/>
          <w:lang w:eastAsia="lv-LV"/>
        </w:rPr>
      </w:pPr>
      <w:r w:rsidRPr="00603434">
        <w:rPr>
          <w:rFonts w:ascii="Calibri" w:eastAsia="Times New Roman" w:hAnsi="Calibri" w:cs="Calibri"/>
          <w:color w:val="000000"/>
          <w:sz w:val="24"/>
          <w:szCs w:val="24"/>
          <w:lang w:eastAsia="lv-LV"/>
        </w:rPr>
        <w:t xml:space="preserve">Tieslietu ministrija ir izskatījusi </w:t>
      </w:r>
      <w:r w:rsidRPr="00603434">
        <w:rPr>
          <w:rFonts w:ascii="Calibri" w:eastAsia="Times New Roman" w:hAnsi="Calibri" w:cs="Calibri"/>
          <w:color w:val="000000"/>
          <w:sz w:val="24"/>
          <w:szCs w:val="24"/>
          <w:shd w:val="clear" w:color="auto" w:fill="FFFFFF"/>
          <w:lang w:eastAsia="lv-LV"/>
        </w:rPr>
        <w:t xml:space="preserve">Vides aizsardzības un reģionālās attīstības ministrijas precizēto Ministru kabineta noteikumu projektu “Noteikumi par īpašiem ierobežojumiem attiecībā uz darbībām ar ozona slāni noārdošām vielām un </w:t>
      </w:r>
      <w:proofErr w:type="spellStart"/>
      <w:r w:rsidRPr="00603434">
        <w:rPr>
          <w:rFonts w:ascii="Calibri" w:eastAsia="Times New Roman" w:hAnsi="Calibri" w:cs="Calibri"/>
          <w:color w:val="000000"/>
          <w:sz w:val="24"/>
          <w:szCs w:val="24"/>
          <w:shd w:val="clear" w:color="auto" w:fill="FFFFFF"/>
          <w:lang w:eastAsia="lv-LV"/>
        </w:rPr>
        <w:t>fluorētām</w:t>
      </w:r>
      <w:proofErr w:type="spellEnd"/>
      <w:r w:rsidRPr="00603434">
        <w:rPr>
          <w:rFonts w:ascii="Calibri" w:eastAsia="Times New Roman" w:hAnsi="Calibri" w:cs="Calibri"/>
          <w:color w:val="000000"/>
          <w:sz w:val="24"/>
          <w:szCs w:val="24"/>
          <w:shd w:val="clear" w:color="auto" w:fill="FFFFFF"/>
          <w:lang w:eastAsia="lv-LV"/>
        </w:rPr>
        <w:t xml:space="preserve"> siltumnīcefekta gāzēm” (turpmāk – projekts) un atbalsta tā virzību, izsakot šādus </w:t>
      </w:r>
      <w:r w:rsidRPr="00603434">
        <w:rPr>
          <w:rFonts w:ascii="Calibri" w:eastAsia="Times New Roman" w:hAnsi="Calibri" w:cs="Calibri"/>
          <w:b/>
          <w:bCs/>
          <w:color w:val="000000"/>
          <w:sz w:val="24"/>
          <w:szCs w:val="24"/>
          <w:shd w:val="clear" w:color="auto" w:fill="FFFFFF"/>
          <w:lang w:eastAsia="lv-LV"/>
        </w:rPr>
        <w:t>iebildumus</w:t>
      </w:r>
      <w:r w:rsidRPr="00603434">
        <w:rPr>
          <w:rFonts w:ascii="Calibri" w:eastAsia="Times New Roman" w:hAnsi="Calibri" w:cs="Calibri"/>
          <w:color w:val="000000"/>
          <w:sz w:val="24"/>
          <w:szCs w:val="24"/>
          <w:shd w:val="clear" w:color="auto" w:fill="FFFFFF"/>
          <w:lang w:eastAsia="lv-LV"/>
        </w:rPr>
        <w:t>:</w:t>
      </w:r>
    </w:p>
    <w:p w14:paraId="58913BF1" w14:textId="77777777" w:rsidR="00603434" w:rsidRPr="00603434" w:rsidRDefault="00603434" w:rsidP="00897D2D">
      <w:pPr>
        <w:numPr>
          <w:ilvl w:val="0"/>
          <w:numId w:val="1"/>
        </w:numPr>
        <w:spacing w:before="100" w:beforeAutospacing="1" w:after="100" w:afterAutospacing="1" w:line="240" w:lineRule="auto"/>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 xml:space="preserve">Lūdzam precizēt projekta 1. punktu atbilstoši Ķīmisko vielu likuma (turpmāk - likums) 16. panta pirmajai daļai, papildinot projekta 1. punktu aiz vārda "ierobežojumus" ar vārdiem "un aizliegumus". Lūdzam attiecīgi precizēt arī projekta III. nodaļas nosaukumu. Vienlaikus lūdzam atkārtoti izvērtēt un precizēt projekta 1. punktu arī atbilstoši likuma </w:t>
      </w:r>
      <w:r w:rsidRPr="00603434">
        <w:rPr>
          <w:rFonts w:ascii="Calibri" w:hAnsi="Calibri" w:cs="Calibri"/>
          <w:b/>
          <w:bCs/>
          <w:lang w:eastAsia="lv-LV"/>
        </w:rPr>
        <w:t>“Par atbilstības novērtēšanu” 7. panta pirmajai daļai</w:t>
      </w:r>
      <w:r w:rsidRPr="00603434">
        <w:rPr>
          <w:rFonts w:ascii="Calibri" w:hAnsi="Calibri" w:cs="Calibri"/>
          <w:lang w:eastAsia="lv-LV"/>
        </w:rPr>
        <w:t xml:space="preserve">, kas nosaka: </w:t>
      </w:r>
      <w:r w:rsidRPr="00603434">
        <w:rPr>
          <w:rFonts w:ascii="Calibri" w:hAnsi="Calibri" w:cs="Calibri"/>
          <w:b/>
          <w:bCs/>
          <w:lang w:eastAsia="lv-LV"/>
        </w:rPr>
        <w:t>"</w:t>
      </w:r>
      <w:r w:rsidRPr="00603434">
        <w:rPr>
          <w:rFonts w:ascii="Calibri" w:hAnsi="Calibri" w:cs="Calibri"/>
          <w:lang w:eastAsia="lv-LV"/>
        </w:rPr>
        <w:t xml:space="preserve">Konkrētā atbilstības novērtēšanas objekta būtiskās prasības un to ievērošanas uzraudzības mehānismu pēc atbildīgās ministrijas priekšlikuma nosaka Ministru kabinets." </w:t>
      </w:r>
    </w:p>
    <w:p w14:paraId="56B570BB" w14:textId="77777777" w:rsidR="00603434" w:rsidRPr="00603434" w:rsidRDefault="00603434" w:rsidP="00897D2D">
      <w:pPr>
        <w:numPr>
          <w:ilvl w:val="0"/>
          <w:numId w:val="1"/>
        </w:numPr>
        <w:spacing w:before="100" w:beforeAutospacing="1" w:after="100" w:afterAutospacing="1" w:line="240" w:lineRule="auto"/>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 xml:space="preserve">Vēršam uzmanību, ka </w:t>
      </w:r>
      <w:r w:rsidRPr="00603434">
        <w:rPr>
          <w:rFonts w:ascii="Calibri" w:hAnsi="Calibri" w:cs="Calibri"/>
          <w:lang w:eastAsia="lv-LV"/>
        </w:rPr>
        <w:t xml:space="preserve">Ķīmisko vielu likuma 16. panta pirmā daļa nosaka, ka Ministru kabinets nosaka īpašus ierobežojumus vai aizliegumus attiecībā uz darbībām ar atsevišķām ķīmiskajām vielām vai maisījumiem, vai citiem materiāliem, kuri satur šīs ķīmiskās vielas vai maisījumus vai ir apstrādāti ar šīm ķīmiskajām vielām vai maisījumiem. </w:t>
      </w:r>
      <w:r w:rsidRPr="00603434">
        <w:rPr>
          <w:rFonts w:ascii="Calibri" w:hAnsi="Calibri" w:cs="Calibri"/>
          <w:lang w:eastAsia="lv-LV"/>
        </w:rPr>
        <w:br/>
        <w:t xml:space="preserve">Savukārt projekta III. nodaļā ir ietverts regulējums par personāla sertifikāciju, licencēšanu, kas cita starpā paredz attiecīgā sertifikāta un licences izsniegšanu un saņemšanu, sertifikāta un licences derīguma termiņu un tā pagarināšanu, sertifikāta un licences atcelšanu, attiecīgu sarakstu uzturēšanu, sertifikāta un licences paraugu u.tml. </w:t>
      </w:r>
      <w:r w:rsidRPr="00603434">
        <w:rPr>
          <w:rFonts w:ascii="Calibri" w:hAnsi="Calibri" w:cs="Calibri"/>
          <w:lang w:eastAsia="lv-LV"/>
        </w:rPr>
        <w:br/>
        <w:t xml:space="preserve">Ministru kabinets ārējo normatīvo aktu var izdot tikai tādā gadījumā, ja likumdevējs likumā formulējis pilnvarojumu šāda akta izdošanai un noteicis pilnvarojuma robežas </w:t>
      </w:r>
      <w:r w:rsidRPr="00603434">
        <w:rPr>
          <w:rFonts w:ascii="Calibri" w:hAnsi="Calibri" w:cs="Calibri"/>
          <w:i/>
          <w:iCs/>
          <w:lang w:eastAsia="lv-LV"/>
        </w:rPr>
        <w:t>(skat. Satversmes tiesas 2017. gada 29. jūnija sprieduma lietā Nr. 2016-23-03 16. punktu)</w:t>
      </w:r>
      <w:r w:rsidRPr="00603434">
        <w:rPr>
          <w:rFonts w:ascii="Calibri" w:hAnsi="Calibri" w:cs="Calibri"/>
          <w:lang w:eastAsia="lv-LV"/>
        </w:rPr>
        <w:t xml:space="preserve">. Turklāt Ministru kabineta noteikumu saturam jāatbilst likumdevēja noteiktajam pilnvarojumam Ministru kabinetam. </w:t>
      </w:r>
      <w:r w:rsidRPr="00603434">
        <w:rPr>
          <w:rFonts w:ascii="Calibri" w:hAnsi="Calibri" w:cs="Calibri"/>
          <w:lang w:eastAsia="lv-LV"/>
        </w:rPr>
        <w:br/>
        <w:t>Atsevišķos gadījumos Ministru kabineta noteikumu saturu var veidot arī materiālās normas, taču tām jābūt pieņemtām, pamatojoties uz nepārprotamu likumdevēja pilnvarojumu (</w:t>
      </w:r>
      <w:r w:rsidRPr="00603434">
        <w:rPr>
          <w:rFonts w:ascii="Calibri" w:hAnsi="Calibri" w:cs="Calibri"/>
          <w:i/>
          <w:iCs/>
          <w:lang w:eastAsia="lv-LV"/>
        </w:rPr>
        <w:t>skat., piemēram, Satversmes tiesas 2018. gada 18. oktobra sprieduma lietā Nr. 2017-33-03 14. punktu</w:t>
      </w:r>
      <w:r w:rsidRPr="00603434">
        <w:rPr>
          <w:rFonts w:ascii="Calibri" w:hAnsi="Calibri" w:cs="Calibri"/>
          <w:lang w:eastAsia="lv-LV"/>
        </w:rPr>
        <w:t xml:space="preserve">). </w:t>
      </w:r>
      <w:r w:rsidRPr="00603434">
        <w:rPr>
          <w:rFonts w:ascii="Calibri" w:hAnsi="Calibri" w:cs="Calibri"/>
          <w:lang w:eastAsia="lv-LV"/>
        </w:rPr>
        <w:br/>
        <w:t xml:space="preserve">Vēršam uzmanību, ka likuma 16. panta pirmajā daļā noteiktais pilnvarojums ir nepilnīgs un nosaka Ministru kabinetam pārāk plašu pilnvarojumu, neparedzot konkrētas šī pilnvarojuma robežas. Likuma IV nodaļā būtu jānosaka īpaši ierobežojumi vai aizliegumi attiecībā uz darbībām ar atsevišķām ķīmiskajām vielām vai maisījumiem, kā arī jānosaka, kāda veida vielām vai maisījumiem likumdevējs nosaka ierobežojumus. Tāpat personas, kurām piešķir licences, licences izsniegšanas </w:t>
      </w:r>
      <w:r w:rsidRPr="00603434">
        <w:rPr>
          <w:rFonts w:ascii="Calibri" w:hAnsi="Calibri" w:cs="Calibri"/>
          <w:lang w:eastAsia="lv-LV"/>
        </w:rPr>
        <w:lastRenderedPageBreak/>
        <w:t xml:space="preserve">nosacījumi (kā projekta 29. punkts) būtu nosakāms likumā, nevis Ministru kabineta noteikumos. </w:t>
      </w:r>
    </w:p>
    <w:p w14:paraId="09B28A28"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color w:val="000000"/>
          <w:sz w:val="24"/>
          <w:szCs w:val="24"/>
          <w:shd w:val="clear" w:color="auto" w:fill="FFFFFF"/>
          <w:lang w:eastAsia="lv-LV"/>
        </w:rPr>
        <w:t>Likumdevējs nav tiesīgs nodot izpildvarai izlemšanai jebkuru jautājumu. Ir jautājumi, kurus var izlemt tikai parlaments pats. Piemēram, par ikviena tāda svarīga un nozīmīga valsts un sabiedrības dzīves jautājuma reglamentāciju, kuros nepieciešama konceptuāla izšķiršanās un politiska diskusija, jālemj likumdevējam pašam (</w:t>
      </w:r>
      <w:r w:rsidRPr="00603434">
        <w:rPr>
          <w:rFonts w:ascii="Calibri" w:eastAsia="Times New Roman" w:hAnsi="Calibri" w:cs="Calibri"/>
          <w:i/>
          <w:iCs/>
          <w:color w:val="000000"/>
          <w:sz w:val="24"/>
          <w:szCs w:val="24"/>
          <w:lang w:eastAsia="lv-LV"/>
        </w:rPr>
        <w:t>sk. Satversmes tiesas 2011. gada 11. janvāra sprieduma lietā Nr. 2010</w:t>
      </w:r>
      <w:r w:rsidRPr="00603434">
        <w:rPr>
          <w:rFonts w:ascii="Calibri" w:eastAsia="Times New Roman" w:hAnsi="Calibri" w:cs="Calibri"/>
          <w:i/>
          <w:iCs/>
          <w:color w:val="000000"/>
          <w:sz w:val="24"/>
          <w:szCs w:val="24"/>
          <w:lang w:eastAsia="lv-LV"/>
        </w:rPr>
        <w:noBreakHyphen/>
        <w:t>40</w:t>
      </w:r>
      <w:r w:rsidRPr="00603434">
        <w:rPr>
          <w:rFonts w:ascii="Calibri" w:eastAsia="Times New Roman" w:hAnsi="Calibri" w:cs="Calibri"/>
          <w:i/>
          <w:iCs/>
          <w:color w:val="000000"/>
          <w:sz w:val="24"/>
          <w:szCs w:val="24"/>
          <w:lang w:eastAsia="lv-LV"/>
        </w:rPr>
        <w:noBreakHyphen/>
        <w:t>03 10.1. punktu</w:t>
      </w:r>
      <w:r w:rsidRPr="00603434">
        <w:rPr>
          <w:rFonts w:ascii="Calibri" w:eastAsia="Times New Roman" w:hAnsi="Calibri" w:cs="Calibri"/>
          <w:color w:val="000000"/>
          <w:sz w:val="24"/>
          <w:szCs w:val="24"/>
          <w:shd w:val="clear" w:color="auto" w:fill="FFFFFF"/>
          <w:lang w:eastAsia="lv-LV"/>
        </w:rPr>
        <w:t xml:space="preserve">). Likumprojektā neietver pilnvarojumu Ministru kabinetam izdot noteikumus jautājumā, kas nav ietverts likumprojektā. Likumdevējam šie jautājumi likumā būtu vismaz jāapsver. </w:t>
      </w:r>
      <w:r w:rsidRPr="00603434">
        <w:rPr>
          <w:rFonts w:ascii="Calibri" w:eastAsia="Times New Roman" w:hAnsi="Calibri" w:cs="Calibri"/>
          <w:color w:val="000000"/>
          <w:sz w:val="24"/>
          <w:szCs w:val="24"/>
          <w:lang w:eastAsia="lv-LV"/>
        </w:rPr>
        <w:t xml:space="preserve">Tādējādi aicinām atkārtoti izvērtēt likuma IV nodaļas nosacījumus un 16. panta pirmajā daļā paredzēto pilnvarojumu Ministru kabinetam. </w:t>
      </w:r>
    </w:p>
    <w:p w14:paraId="216ADA4E"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 xml:space="preserve">3. </w:t>
      </w:r>
      <w:r w:rsidRPr="00603434">
        <w:rPr>
          <w:rFonts w:ascii="Calibri" w:eastAsia="Times New Roman" w:hAnsi="Calibri" w:cs="Calibri"/>
          <w:sz w:val="24"/>
          <w:szCs w:val="24"/>
          <w:lang w:eastAsia="lv-LV"/>
        </w:rPr>
        <w:t>Administratīvā procesa likuma 11. pants noteic, ka p</w:t>
      </w:r>
      <w:r w:rsidRPr="00603434">
        <w:rPr>
          <w:rFonts w:ascii="Calibri" w:eastAsia="Times New Roman" w:hAnsi="Calibri" w:cs="Calibri"/>
          <w:sz w:val="24"/>
          <w:szCs w:val="24"/>
          <w:u w:val="single"/>
          <w:lang w:eastAsia="lv-LV"/>
        </w:rPr>
        <w:t xml:space="preserve">rivātpersonai nelabvēlīgu administratīvo aktu izdot vai faktisku rīcību veikt iestāde var uz </w:t>
      </w:r>
      <w:hyperlink r:id="rId5" w:tgtFrame="_blank" w:history="1">
        <w:r w:rsidRPr="00603434">
          <w:rPr>
            <w:rFonts w:ascii="Calibri" w:eastAsia="Times New Roman" w:hAnsi="Calibri" w:cs="Calibri"/>
            <w:color w:val="0563C1"/>
            <w:sz w:val="24"/>
            <w:szCs w:val="24"/>
            <w:u w:val="single"/>
            <w:lang w:eastAsia="lv-LV"/>
          </w:rPr>
          <w:t>Satversmes</w:t>
        </w:r>
      </w:hyperlink>
      <w:r w:rsidRPr="00603434">
        <w:rPr>
          <w:rFonts w:ascii="Calibri" w:eastAsia="Times New Roman" w:hAnsi="Calibri" w:cs="Calibri"/>
          <w:sz w:val="24"/>
          <w:szCs w:val="24"/>
          <w:u w:val="single"/>
          <w:lang w:eastAsia="lv-LV"/>
        </w:rPr>
        <w:t>, likuma, kā arī uz starptautisko tiesību normas pamata.</w:t>
      </w:r>
      <w:r w:rsidRPr="00603434">
        <w:rPr>
          <w:rFonts w:ascii="Calibri" w:eastAsia="Times New Roman" w:hAnsi="Calibri" w:cs="Calibri"/>
          <w:sz w:val="24"/>
          <w:szCs w:val="24"/>
          <w:lang w:eastAsia="lv-LV"/>
        </w:rPr>
        <w:t xml:space="preserve"> Ministru kabineta noteikumi vai pašvaldību saistošie noteikumi var būt par pamatu šādam administratīvajam aktam vai faktiskai rīcībai tikai tad, ja </w:t>
      </w:r>
      <w:hyperlink r:id="rId6" w:tgtFrame="_blank" w:history="1">
        <w:r w:rsidRPr="00603434">
          <w:rPr>
            <w:rFonts w:ascii="Calibri" w:eastAsia="Times New Roman" w:hAnsi="Calibri" w:cs="Calibri"/>
            <w:color w:val="0563C1"/>
            <w:sz w:val="24"/>
            <w:szCs w:val="24"/>
            <w:u w:val="single"/>
            <w:lang w:eastAsia="lv-LV"/>
          </w:rPr>
          <w:t>Satversmē</w:t>
        </w:r>
      </w:hyperlink>
      <w:r w:rsidRPr="00603434">
        <w:rPr>
          <w:rFonts w:ascii="Calibri" w:eastAsia="Times New Roman" w:hAnsi="Calibri" w:cs="Calibri"/>
          <w:sz w:val="24"/>
          <w:szCs w:val="24"/>
          <w:lang w:eastAsia="lv-LV"/>
        </w:rPr>
        <w:t>, likumā vai starptautisko tiesību normā tieši vai netieši ir ietverts pilnvarojums Ministru kabinetam, izdodot noteikumus, vai pašvaldībām, izdodot saistošos noteikumus, tajos paredzēt šādus administratīvos aktus vai faktisko rīcību. Savukārt no projekta 15.2. apakšpunktā, 23. punktā, 24.2. un 24.3. apakšpunktā, kā arī 32., 34. un 35. punktā minētā izriet, ka iestāde var izdot privātpersonai nelabvēlīgu administratīvo aktu, bet nav skaidrs, no kuras normas izriet attiecīgais regulējums. Lūdzam skaidrot projekta anotācijā, no kuras likuma vai likuma "Par atbilstības novērtēšanu" normas izriet tiesības Ministru kabinetam pieņemt minētos lēmumus. Vienlaikus lūdzam projekta 23. punktā un 34. punktā norādīt konkrētas regulu normas.</w:t>
      </w:r>
    </w:p>
    <w:p w14:paraId="1B45978A"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sz w:val="24"/>
          <w:szCs w:val="24"/>
          <w:lang w:eastAsia="lv-LV"/>
        </w:rPr>
        <w:t xml:space="preserve">4. </w:t>
      </w:r>
      <w:r w:rsidRPr="00603434">
        <w:rPr>
          <w:rFonts w:ascii="Calibri" w:eastAsia="Times New Roman" w:hAnsi="Calibri" w:cs="Calibri"/>
          <w:color w:val="000000"/>
          <w:sz w:val="24"/>
          <w:szCs w:val="24"/>
          <w:lang w:eastAsia="lv-LV"/>
        </w:rPr>
        <w:t xml:space="preserve">Papildus norādām, ka </w:t>
      </w:r>
      <w:r w:rsidRPr="00603434">
        <w:rPr>
          <w:rFonts w:ascii="Calibri" w:eastAsia="Times New Roman" w:hAnsi="Calibri" w:cs="Calibri"/>
          <w:color w:val="000000"/>
          <w:sz w:val="24"/>
          <w:szCs w:val="24"/>
          <w:u w:val="single"/>
          <w:lang w:eastAsia="lv-LV"/>
        </w:rPr>
        <w:t>projekta III nodaļā ir paredzēts regulējums, kas saistīts ar administratīvo procesu iestādē, bet tas neatbilst Administratīvā procesa likumā noteiktajam</w:t>
      </w:r>
      <w:r w:rsidRPr="00603434">
        <w:rPr>
          <w:rFonts w:ascii="Calibri" w:eastAsia="Times New Roman" w:hAnsi="Calibri" w:cs="Calibri"/>
          <w:color w:val="000000"/>
          <w:sz w:val="24"/>
          <w:szCs w:val="24"/>
          <w:lang w:eastAsia="lv-LV"/>
        </w:rPr>
        <w:t xml:space="preserve">. Proti, Administratīvā procesa likuma 64. panta pirmā daļa noteic, ka, ja administratīvā lieta ierosināta uz iesnieguma pamata, </w:t>
      </w:r>
      <w:r w:rsidRPr="00603434">
        <w:rPr>
          <w:rFonts w:ascii="Calibri" w:eastAsia="Times New Roman" w:hAnsi="Calibri" w:cs="Calibri"/>
          <w:color w:val="000000"/>
          <w:sz w:val="24"/>
          <w:szCs w:val="24"/>
          <w:u w:val="single"/>
          <w:lang w:eastAsia="lv-LV"/>
        </w:rPr>
        <w:t>iestāde pieņem lēmumu par administratīvā akta izdošanu viena mēneša laikā no iesnieguma saņemšanas dienas</w:t>
      </w:r>
      <w:r w:rsidRPr="00603434">
        <w:rPr>
          <w:rFonts w:ascii="Calibri" w:eastAsia="Times New Roman" w:hAnsi="Calibri" w:cs="Calibri"/>
          <w:color w:val="000000"/>
          <w:sz w:val="24"/>
          <w:szCs w:val="24"/>
          <w:lang w:eastAsia="lv-LV"/>
        </w:rPr>
        <w:t xml:space="preserve">, ja likumā nav noteikts cits termiņš vai citā normatīvajā aktā – īsāks termiņš administratīvā akta izdošanai. Savukārt no projekta 18., 19. un 20. punktā noteiktā izriet, ka attiecīgais lēmums netiek pieņemts viena mēneša laikā no iesnieguma saņemšanas dienas. </w:t>
      </w:r>
    </w:p>
    <w:p w14:paraId="57D33B42"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 xml:space="preserve">5. Administratīvā procesa likuma 70. panta pirmā daļa noteic, ka, ja ārējā normatīvajā aktā vai pašā administratīvajā aktā nav noteikts citādi, </w:t>
      </w:r>
      <w:r w:rsidRPr="00603434">
        <w:rPr>
          <w:rFonts w:ascii="Calibri" w:eastAsia="Times New Roman" w:hAnsi="Calibri" w:cs="Calibri"/>
          <w:color w:val="000000"/>
          <w:sz w:val="24"/>
          <w:szCs w:val="24"/>
          <w:u w:val="single"/>
          <w:lang w:eastAsia="lv-LV"/>
        </w:rPr>
        <w:t>administratīvais akts stājas spēkā ar brīdi, kad tas paziņots adresātam</w:t>
      </w:r>
      <w:r w:rsidRPr="00603434">
        <w:rPr>
          <w:rFonts w:ascii="Calibri" w:eastAsia="Times New Roman" w:hAnsi="Calibri" w:cs="Calibri"/>
          <w:color w:val="000000"/>
          <w:sz w:val="24"/>
          <w:szCs w:val="24"/>
          <w:lang w:eastAsia="lv-LV"/>
        </w:rPr>
        <w:t xml:space="preserve">. Savukārt no projekta 26. punktā minētā neizriet, ka pieņemtie lēmumi tiek paziņoti tā adresātam. </w:t>
      </w:r>
    </w:p>
    <w:p w14:paraId="5D9540AC" w14:textId="77777777" w:rsidR="00603434" w:rsidRPr="00603434" w:rsidRDefault="00603434" w:rsidP="00897D2D">
      <w:pPr>
        <w:spacing w:after="0" w:line="240" w:lineRule="auto"/>
        <w:ind w:left="720"/>
        <w:jc w:val="both"/>
        <w:rPr>
          <w:rFonts w:ascii="Calibri" w:eastAsia="Times New Roman" w:hAnsi="Calibri" w:cs="Calibri"/>
          <w:color w:val="000000"/>
          <w:sz w:val="24"/>
          <w:szCs w:val="24"/>
          <w:lang w:eastAsia="lv-LV"/>
        </w:rPr>
      </w:pPr>
      <w:r w:rsidRPr="00603434">
        <w:rPr>
          <w:rFonts w:ascii="Calibri" w:eastAsia="Times New Roman" w:hAnsi="Calibri" w:cs="Calibri"/>
          <w:color w:val="000000"/>
          <w:sz w:val="24"/>
          <w:szCs w:val="24"/>
          <w:lang w:eastAsia="lv-LV"/>
        </w:rPr>
        <w:t xml:space="preserve">6. Tāpat norādām uz to, ka Administratīvā procesa likuma 56. panta pirmā daļa noteic, ka </w:t>
      </w:r>
      <w:r w:rsidRPr="00603434">
        <w:rPr>
          <w:rFonts w:ascii="Calibri" w:eastAsia="Times New Roman" w:hAnsi="Calibri" w:cs="Calibri"/>
          <w:color w:val="000000"/>
          <w:sz w:val="24"/>
          <w:szCs w:val="24"/>
          <w:u w:val="single"/>
          <w:lang w:eastAsia="lv-LV"/>
        </w:rPr>
        <w:t>iesniegumu var iesniegt mutvārdos vai rakstveidā</w:t>
      </w:r>
      <w:r w:rsidRPr="00603434">
        <w:rPr>
          <w:rFonts w:ascii="Calibri" w:eastAsia="Times New Roman" w:hAnsi="Calibri" w:cs="Calibri"/>
          <w:color w:val="000000"/>
          <w:sz w:val="24"/>
          <w:szCs w:val="24"/>
          <w:lang w:eastAsia="lv-LV"/>
        </w:rPr>
        <w:t xml:space="preserve">. Administratīvā procesa likuma 3. panta pirmā daļa noteic, ka </w:t>
      </w:r>
      <w:r w:rsidRPr="00603434">
        <w:rPr>
          <w:rFonts w:ascii="Calibri" w:eastAsia="Times New Roman" w:hAnsi="Calibri" w:cs="Calibri"/>
          <w:color w:val="000000"/>
          <w:sz w:val="24"/>
          <w:szCs w:val="24"/>
          <w:u w:val="single"/>
          <w:lang w:eastAsia="lv-LV"/>
        </w:rPr>
        <w:t>šo likumu piemēro administratīvajā procesā iestādē, ciktāl citu likumu speciālajās tiesību normās nav noteikta cita kārtība</w:t>
      </w:r>
      <w:r w:rsidRPr="00603434">
        <w:rPr>
          <w:rFonts w:ascii="Calibri" w:eastAsia="Times New Roman" w:hAnsi="Calibri" w:cs="Calibri"/>
          <w:color w:val="000000"/>
          <w:sz w:val="24"/>
          <w:szCs w:val="24"/>
          <w:lang w:eastAsia="lv-LV"/>
        </w:rPr>
        <w:t xml:space="preserve">. Līdz ar to speciālajā likumā var paredzēt citādāku </w:t>
      </w:r>
      <w:r w:rsidRPr="00603434">
        <w:rPr>
          <w:rFonts w:ascii="Calibri" w:eastAsia="Times New Roman" w:hAnsi="Calibri" w:cs="Calibri"/>
          <w:color w:val="000000"/>
          <w:sz w:val="24"/>
          <w:szCs w:val="24"/>
          <w:lang w:eastAsia="lv-LV"/>
        </w:rPr>
        <w:lastRenderedPageBreak/>
        <w:t xml:space="preserve">regulējumu nekā Administratīvā procesa likumā, bet projekta sākotnējās </w:t>
      </w:r>
      <w:r w:rsidRPr="00603434">
        <w:rPr>
          <w:rFonts w:ascii="Calibri" w:eastAsia="Times New Roman" w:hAnsi="Calibri" w:cs="Calibri"/>
          <w:i/>
          <w:iCs/>
          <w:color w:val="000000"/>
          <w:sz w:val="24"/>
          <w:szCs w:val="24"/>
          <w:lang w:eastAsia="lv-LV"/>
        </w:rPr>
        <w:t>(</w:t>
      </w:r>
      <w:proofErr w:type="spellStart"/>
      <w:r w:rsidRPr="00603434">
        <w:rPr>
          <w:rFonts w:ascii="Calibri" w:eastAsia="Times New Roman" w:hAnsi="Calibri" w:cs="Calibri"/>
          <w:i/>
          <w:iCs/>
          <w:color w:val="000000"/>
          <w:sz w:val="24"/>
          <w:szCs w:val="24"/>
          <w:lang w:eastAsia="lv-LV"/>
        </w:rPr>
        <w:t>ex-ante</w:t>
      </w:r>
      <w:proofErr w:type="spellEnd"/>
      <w:r w:rsidRPr="00603434">
        <w:rPr>
          <w:rFonts w:ascii="Calibri" w:eastAsia="Times New Roman" w:hAnsi="Calibri" w:cs="Calibri"/>
          <w:i/>
          <w:iCs/>
          <w:color w:val="000000"/>
          <w:sz w:val="24"/>
          <w:szCs w:val="24"/>
          <w:lang w:eastAsia="lv-LV"/>
        </w:rPr>
        <w:t>)</w:t>
      </w:r>
      <w:r w:rsidRPr="00603434">
        <w:rPr>
          <w:rFonts w:ascii="Calibri" w:eastAsia="Times New Roman" w:hAnsi="Calibri" w:cs="Calibri"/>
          <w:color w:val="000000"/>
          <w:sz w:val="24"/>
          <w:szCs w:val="24"/>
          <w:lang w:eastAsia="lv-LV"/>
        </w:rPr>
        <w:t xml:space="preserve"> ietekmes novērtējuma ziņojuma (turpmāk – anotācija) I sadaļas 2. punktā nav informācijas, no kuras likuma normas izriet Ministru kabineta tiesības noteikt, ka </w:t>
      </w:r>
      <w:r w:rsidRPr="00603434">
        <w:rPr>
          <w:rFonts w:ascii="Calibri" w:eastAsia="Times New Roman" w:hAnsi="Calibri" w:cs="Calibri"/>
          <w:color w:val="000000"/>
          <w:sz w:val="24"/>
          <w:szCs w:val="24"/>
          <w:u w:val="single"/>
          <w:lang w:eastAsia="lv-LV"/>
        </w:rPr>
        <w:t>persona var iesniegt iesniegumu tikai elektroniski, reģistrējoties Valsts vides dienesta vienotās vides informācijas sistēmā</w:t>
      </w:r>
      <w:r w:rsidRPr="00603434">
        <w:rPr>
          <w:rFonts w:ascii="Calibri" w:eastAsia="Times New Roman" w:hAnsi="Calibri" w:cs="Calibri"/>
          <w:color w:val="000000"/>
          <w:sz w:val="24"/>
          <w:szCs w:val="24"/>
          <w:lang w:eastAsia="lv-LV"/>
        </w:rPr>
        <w:t xml:space="preserve">. Tas, ka valsts pārvaldes institūciju darbības un pakalpojumu kvalitātes uzlabošana, pakalpojumu elektronizācija un administratīvā sloga mazināšana izriet no Ministru kabineta 2014. gada 30. decembra rīkojuma Nr. 827 "Par Valsts pārvaldes politikas attīstības pamatnostādnēm 2014.-2020. gadam", kas mainījis statusu ar Ministru kabineta 2017. gada 24. novembra rīkojumu Nr. 701 "Par Valsts pārvaldes reformu plānu 2020", nevar būt tiesisks pamats tam, lai projektā paredzētu citādāku regulējumu nekā tas ir spēkā esošajos likumos. Ievērojot minēto, atkārtoti lūdzam precizēt projekta III nodaļas saturu, lai tas atbilstu Administratīvā procesa likumā paredzētajam regulējumam. </w:t>
      </w:r>
      <w:r w:rsidRPr="00603434">
        <w:rPr>
          <w:rFonts w:ascii="Calibri" w:eastAsia="Times New Roman" w:hAnsi="Calibri" w:cs="Calibri"/>
          <w:color w:val="000000"/>
          <w:sz w:val="24"/>
          <w:szCs w:val="24"/>
          <w:lang w:eastAsia="lv-LV"/>
        </w:rPr>
        <w:br/>
      </w:r>
      <w:r w:rsidRPr="00603434">
        <w:rPr>
          <w:rFonts w:ascii="Calibri" w:eastAsia="Times New Roman" w:hAnsi="Calibri" w:cs="Calibri"/>
          <w:color w:val="000000"/>
          <w:sz w:val="24"/>
          <w:szCs w:val="24"/>
          <w:lang w:eastAsia="lv-LV"/>
        </w:rPr>
        <w:br/>
      </w:r>
    </w:p>
    <w:p w14:paraId="41DEDD54"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7. Norādām, ka projektā paredzētais regulējums nedrīkst dublēt vai būt pretrunā Administratīvā procesa likuma (turpmāk - APL) normām. Projekta 33. 1. apakšpunkts daļēji dublējas ar APL 86. panta otrās daļas 4. punktu, turklāt nepatiesas informācijas sniegšana atbilstoši APL nav obligāts administratīvā akta atcelšanas pamats.</w:t>
      </w:r>
      <w:r w:rsidRPr="00603434">
        <w:rPr>
          <w:rFonts w:ascii="Calibri" w:eastAsia="Times New Roman" w:hAnsi="Calibri" w:cs="Calibri"/>
          <w:color w:val="000000"/>
          <w:sz w:val="24"/>
          <w:szCs w:val="24"/>
          <w:lang w:eastAsia="lv-LV"/>
        </w:rPr>
        <w:br/>
        <w:t>Projekta 35.1. un 35.3. apakšpunkts daļēji dublē APL 86. panta otrās daļas 4. punktu, tāpēc lūdzam izvērtēt nepieciešamību svītrot minētos projekta apakšpunktus. Lūdzam arī atkārtoti izvērtēt projekta 33. un 34. punktu iespējamu savstarpēju dublēšanos, un svītrot nepieciešamības gadījumā projekta 33. punktu.</w:t>
      </w:r>
    </w:p>
    <w:p w14:paraId="1DDDA700" w14:textId="77777777" w:rsidR="00603434" w:rsidRPr="00603434" w:rsidRDefault="00603434" w:rsidP="00897D2D">
      <w:pPr>
        <w:spacing w:after="0" w:line="240" w:lineRule="auto"/>
        <w:ind w:left="720"/>
        <w:jc w:val="both"/>
        <w:rPr>
          <w:rFonts w:ascii="Calibri" w:eastAsia="Times New Roman" w:hAnsi="Calibri" w:cs="Calibri"/>
          <w:lang w:eastAsia="lv-LV"/>
        </w:rPr>
      </w:pPr>
      <w:r w:rsidRPr="00603434">
        <w:rPr>
          <w:rFonts w:ascii="Calibri" w:eastAsia="Times New Roman" w:hAnsi="Calibri" w:cs="Calibri"/>
          <w:color w:val="000000"/>
          <w:sz w:val="24"/>
          <w:szCs w:val="24"/>
          <w:lang w:eastAsia="lv-LV"/>
        </w:rPr>
        <w:t xml:space="preserve">Lūdzam arī atkārtoti izvērtēt projekta 35.4. apakšpunktā paredzēto regulējumu, izvērtējot, vai tas pats par sevi ir pietiekošs pamats administratīvā akta iespējamai atcelšanai. Turklāt lūdzam arī ņemt vērā likuma 20.panta ceturto daļu, kas par ķīmiskās drošības pārskata nesastādīšanu vai esoša ķīmiskās drošības pārskata neatjaunošanu paredz piemērot naudas sodu fiziskai un juridiskai personai. Gadījumā, ja likums paredz sodu par projekta 35.4. apakšpunktā minētā pārskata nesastādīšanu vai neatjaunošanu, tad projektā 35.4. apakšpunkts nebūtu iekļaujams. Lūdzam ņemt vērā arī Administratīvo sodu likuma par pārkāpumiem pārvaldes, sabiedriskās kārtības un valsts valodas lietošanas jomā 3. pantā noteikto. </w:t>
      </w:r>
    </w:p>
    <w:p w14:paraId="5B5C696A" w14:textId="77777777" w:rsidR="00603434" w:rsidRPr="00603434" w:rsidRDefault="00603434" w:rsidP="00897D2D">
      <w:pPr>
        <w:spacing w:after="0" w:line="240" w:lineRule="auto"/>
        <w:jc w:val="both"/>
        <w:rPr>
          <w:rFonts w:ascii="Segoe UI" w:hAnsi="Segoe UI" w:cs="Segoe UI"/>
          <w:color w:val="201F1E"/>
          <w:sz w:val="23"/>
          <w:szCs w:val="23"/>
          <w:lang w:eastAsia="lv-LV"/>
        </w:rPr>
      </w:pPr>
    </w:p>
    <w:p w14:paraId="0344ED1D"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color w:val="201F1E"/>
          <w:lang w:eastAsia="lv-LV"/>
        </w:rPr>
        <w:t>Cieņā</w:t>
      </w:r>
    </w:p>
    <w:p w14:paraId="064930B4"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b/>
          <w:bCs/>
          <w:color w:val="201F1E"/>
          <w:lang w:eastAsia="lv-LV"/>
        </w:rPr>
        <w:t>Amanda Mūrniece</w:t>
      </w:r>
    </w:p>
    <w:p w14:paraId="40DE2197"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color w:val="201F1E"/>
          <w:lang w:eastAsia="lv-LV"/>
        </w:rPr>
        <w:t>Tieslietu ministrijas Valststiesību departamenta</w:t>
      </w:r>
    </w:p>
    <w:p w14:paraId="24BB712B"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color w:val="201F1E"/>
          <w:lang w:eastAsia="lv-LV"/>
        </w:rPr>
        <w:t>Starptautisko publisko tiesību nodaļas juriste</w:t>
      </w:r>
    </w:p>
    <w:p w14:paraId="45F14893"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color w:val="201F1E"/>
          <w:lang w:eastAsia="lv-LV"/>
        </w:rPr>
        <w:t>Tālrunis: 67036942</w:t>
      </w:r>
    </w:p>
    <w:p w14:paraId="547A13F5" w14:textId="77777777" w:rsidR="00603434" w:rsidRPr="00603434" w:rsidRDefault="00603434" w:rsidP="00897D2D">
      <w:pPr>
        <w:spacing w:after="0" w:line="240" w:lineRule="auto"/>
        <w:jc w:val="both"/>
        <w:rPr>
          <w:rFonts w:ascii="Segoe UI" w:hAnsi="Segoe UI" w:cs="Segoe UI"/>
          <w:color w:val="201F1E"/>
          <w:sz w:val="23"/>
          <w:szCs w:val="23"/>
          <w:lang w:eastAsia="lv-LV"/>
        </w:rPr>
      </w:pPr>
      <w:r w:rsidRPr="00603434">
        <w:rPr>
          <w:rFonts w:ascii="Calibri" w:hAnsi="Calibri" w:cs="Calibri"/>
          <w:color w:val="201F1E"/>
          <w:lang w:eastAsia="lv-LV"/>
        </w:rPr>
        <w:t xml:space="preserve">E-pasts: </w:t>
      </w:r>
      <w:hyperlink r:id="rId7" w:tgtFrame="_blank" w:history="1">
        <w:r w:rsidRPr="00603434">
          <w:rPr>
            <w:rFonts w:ascii="Calibri" w:hAnsi="Calibri" w:cs="Calibri"/>
            <w:color w:val="0563C1"/>
            <w:u w:val="single"/>
            <w:lang w:eastAsia="lv-LV"/>
          </w:rPr>
          <w:t>Amanda.Murniece@tm.gov.lv</w:t>
        </w:r>
      </w:hyperlink>
      <w:r w:rsidRPr="00603434">
        <w:rPr>
          <w:rFonts w:ascii="Calibri" w:hAnsi="Calibri" w:cs="Calibri"/>
          <w:color w:val="201F1E"/>
          <w:lang w:eastAsia="lv-LV"/>
        </w:rPr>
        <w:t xml:space="preserve"> </w:t>
      </w:r>
    </w:p>
    <w:p w14:paraId="6A5C6EB3" w14:textId="77777777" w:rsidR="00603434" w:rsidRPr="00603434" w:rsidRDefault="00603434" w:rsidP="00897D2D">
      <w:pPr>
        <w:spacing w:after="0" w:line="240" w:lineRule="auto"/>
        <w:jc w:val="both"/>
        <w:rPr>
          <w:rFonts w:ascii="Calibri" w:eastAsia="Times New Roman" w:hAnsi="Calibri" w:cs="Calibri"/>
          <w:lang w:eastAsia="lv-LV"/>
        </w:rPr>
      </w:pPr>
    </w:p>
    <w:p w14:paraId="770FBAEA" w14:textId="77777777" w:rsidR="00603434" w:rsidRPr="00603434" w:rsidRDefault="00603434" w:rsidP="00897D2D">
      <w:pPr>
        <w:shd w:val="clear" w:color="auto" w:fill="FFFFFF"/>
        <w:spacing w:after="0" w:line="235" w:lineRule="atLeast"/>
        <w:jc w:val="both"/>
        <w:rPr>
          <w:rFonts w:ascii="Calibri" w:hAnsi="Calibri" w:cs="Calibri"/>
          <w:color w:val="000000"/>
          <w:lang w:eastAsia="lv-LV"/>
        </w:rPr>
      </w:pPr>
      <w:r w:rsidRPr="00603434">
        <w:rPr>
          <w:rFonts w:ascii="Arial" w:hAnsi="Arial" w:cs="Arial"/>
          <w:b/>
          <w:bCs/>
          <w:color w:val="201F1E"/>
          <w:bdr w:val="none" w:sz="0" w:space="0" w:color="auto" w:frame="1"/>
          <w:lang w:eastAsia="lv-LV"/>
        </w:rPr>
        <w:t>Ilze Māliņa</w:t>
      </w:r>
    </w:p>
    <w:p w14:paraId="3182A6CF" w14:textId="77777777" w:rsidR="00603434" w:rsidRPr="00603434" w:rsidRDefault="00603434" w:rsidP="00897D2D">
      <w:pPr>
        <w:shd w:val="clear" w:color="auto" w:fill="FFFFFF"/>
        <w:spacing w:after="0" w:line="235" w:lineRule="atLeast"/>
        <w:jc w:val="both"/>
        <w:rPr>
          <w:rFonts w:ascii="Calibri" w:hAnsi="Calibri" w:cs="Calibri"/>
          <w:color w:val="000000"/>
          <w:lang w:eastAsia="lv-LV"/>
        </w:rPr>
      </w:pPr>
      <w:r w:rsidRPr="00603434">
        <w:rPr>
          <w:rFonts w:ascii="Arial" w:hAnsi="Arial" w:cs="Arial"/>
          <w:color w:val="201F1E"/>
          <w:bdr w:val="none" w:sz="0" w:space="0" w:color="auto" w:frame="1"/>
          <w:lang w:eastAsia="lv-LV"/>
        </w:rPr>
        <w:t>Tieslietu ministrijas</w:t>
      </w:r>
      <w:r w:rsidRPr="00603434">
        <w:rPr>
          <w:rFonts w:ascii="Calibri" w:hAnsi="Calibri" w:cs="Calibri"/>
          <w:color w:val="201F1E"/>
          <w:bdr w:val="none" w:sz="0" w:space="0" w:color="auto" w:frame="1"/>
          <w:lang w:eastAsia="lv-LV"/>
        </w:rPr>
        <w:t xml:space="preserve"> </w:t>
      </w:r>
      <w:r w:rsidRPr="00603434">
        <w:rPr>
          <w:rFonts w:ascii="Arial" w:hAnsi="Arial" w:cs="Arial"/>
          <w:color w:val="201F1E"/>
          <w:lang w:eastAsia="lv-LV"/>
        </w:rPr>
        <w:t>Valststiesību departamenta</w:t>
      </w:r>
    </w:p>
    <w:p w14:paraId="7C461A27" w14:textId="77777777" w:rsidR="00603434" w:rsidRPr="00603434" w:rsidRDefault="00603434" w:rsidP="00897D2D">
      <w:pPr>
        <w:shd w:val="clear" w:color="auto" w:fill="FFFFFF"/>
        <w:spacing w:after="0" w:line="235" w:lineRule="atLeast"/>
        <w:jc w:val="both"/>
        <w:rPr>
          <w:rFonts w:ascii="Calibri" w:hAnsi="Calibri" w:cs="Calibri"/>
          <w:color w:val="000000"/>
          <w:lang w:eastAsia="lv-LV"/>
        </w:rPr>
      </w:pPr>
      <w:r w:rsidRPr="00603434">
        <w:rPr>
          <w:rFonts w:ascii="Arial" w:hAnsi="Arial" w:cs="Arial"/>
          <w:color w:val="201F1E"/>
          <w:bdr w:val="none" w:sz="0" w:space="0" w:color="auto" w:frame="1"/>
          <w:lang w:eastAsia="lv-LV"/>
        </w:rPr>
        <w:t>Administratīvo tiesību nodaļas juriste</w:t>
      </w:r>
    </w:p>
    <w:p w14:paraId="28664AE6" w14:textId="77777777" w:rsidR="00603434" w:rsidRPr="00603434" w:rsidRDefault="00603434" w:rsidP="00897D2D">
      <w:pPr>
        <w:shd w:val="clear" w:color="auto" w:fill="FFFFFF"/>
        <w:spacing w:after="0" w:line="235" w:lineRule="atLeast"/>
        <w:jc w:val="both"/>
        <w:rPr>
          <w:rFonts w:ascii="Calibri" w:hAnsi="Calibri" w:cs="Calibri"/>
          <w:color w:val="000000"/>
          <w:lang w:eastAsia="lv-LV"/>
        </w:rPr>
      </w:pPr>
      <w:r w:rsidRPr="00603434">
        <w:rPr>
          <w:rFonts w:ascii="Arial" w:hAnsi="Arial" w:cs="Arial"/>
          <w:color w:val="201F1E"/>
          <w:bdr w:val="none" w:sz="0" w:space="0" w:color="auto" w:frame="1"/>
          <w:lang w:eastAsia="lv-LV"/>
        </w:rPr>
        <w:t xml:space="preserve">Tālrunis: 67036910 </w:t>
      </w:r>
    </w:p>
    <w:p w14:paraId="624D8FBA" w14:textId="1B19F21B" w:rsidR="005E742A" w:rsidRPr="000F6A7D" w:rsidRDefault="00603434" w:rsidP="00897D2D">
      <w:pPr>
        <w:shd w:val="clear" w:color="auto" w:fill="FFFFFF"/>
        <w:spacing w:after="0" w:line="235" w:lineRule="atLeast"/>
        <w:jc w:val="both"/>
        <w:rPr>
          <w:rFonts w:ascii="Calibri" w:hAnsi="Calibri" w:cs="Calibri"/>
          <w:color w:val="000000"/>
          <w:lang w:eastAsia="lv-LV"/>
        </w:rPr>
      </w:pPr>
      <w:r w:rsidRPr="00603434">
        <w:rPr>
          <w:rFonts w:ascii="Arial" w:hAnsi="Arial" w:cs="Arial"/>
          <w:color w:val="201F1E"/>
          <w:bdr w:val="none" w:sz="0" w:space="0" w:color="auto" w:frame="1"/>
          <w:lang w:eastAsia="lv-LV"/>
        </w:rPr>
        <w:lastRenderedPageBreak/>
        <w:t xml:space="preserve">E-pasts: </w:t>
      </w:r>
      <w:hyperlink r:id="rId8" w:history="1">
        <w:r w:rsidRPr="00603434">
          <w:rPr>
            <w:rFonts w:ascii="Arial" w:hAnsi="Arial" w:cs="Arial"/>
            <w:color w:val="0563C1"/>
            <w:u w:val="single"/>
            <w:bdr w:val="none" w:sz="0" w:space="0" w:color="auto" w:frame="1"/>
            <w:lang w:eastAsia="lv-LV"/>
          </w:rPr>
          <w:t>Ilze.Malina@tm.gov.lv</w:t>
        </w:r>
      </w:hyperlink>
      <w:r w:rsidRPr="00603434">
        <w:rPr>
          <w:rFonts w:ascii="Arial" w:hAnsi="Arial" w:cs="Arial"/>
          <w:color w:val="201F1E"/>
          <w:bdr w:val="none" w:sz="0" w:space="0" w:color="auto" w:frame="1"/>
          <w:lang w:eastAsia="lv-LV"/>
        </w:rPr>
        <w:t xml:space="preserve"> </w:t>
      </w:r>
    </w:p>
    <w:sectPr w:rsidR="005E742A" w:rsidRPr="000F6A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20FCD"/>
    <w:multiLevelType w:val="multilevel"/>
    <w:tmpl w:val="D85AA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34"/>
    <w:rsid w:val="000F6A7D"/>
    <w:rsid w:val="005E742A"/>
    <w:rsid w:val="00603434"/>
    <w:rsid w:val="0089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C579"/>
  <w15:chartTrackingRefBased/>
  <w15:docId w15:val="{D998B7FA-6389-4A81-AFFD-2835EE50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3434"/>
    <w:rPr>
      <w:color w:val="0563C1"/>
      <w:u w:val="single"/>
    </w:rPr>
  </w:style>
  <w:style w:type="paragraph" w:styleId="NormalWeb">
    <w:name w:val="Normal (Web)"/>
    <w:basedOn w:val="Normal"/>
    <w:uiPriority w:val="99"/>
    <w:semiHidden/>
    <w:unhideWhenUsed/>
    <w:rsid w:val="00603434"/>
    <w:pPr>
      <w:spacing w:after="0" w:line="240" w:lineRule="auto"/>
    </w:pPr>
    <w:rPr>
      <w:rFonts w:ascii="Calibri" w:hAnsi="Calibri" w:cs="Calibri"/>
      <w:lang w:eastAsia="lv-LV"/>
    </w:rPr>
  </w:style>
  <w:style w:type="paragraph" w:customStyle="1" w:styleId="xmsonormal">
    <w:name w:val="x_msonormal"/>
    <w:basedOn w:val="Normal"/>
    <w:uiPriority w:val="99"/>
    <w:semiHidden/>
    <w:rsid w:val="00603434"/>
    <w:pPr>
      <w:spacing w:after="200" w:line="276" w:lineRule="auto"/>
    </w:pPr>
    <w:rPr>
      <w:rFonts w:ascii="Calibri" w:hAnsi="Calibri" w:cs="Calibri"/>
      <w:lang w:eastAsia="lv-LV"/>
    </w:rPr>
  </w:style>
  <w:style w:type="paragraph" w:customStyle="1" w:styleId="xmsolistparagraph">
    <w:name w:val="x_msolistparagraph"/>
    <w:basedOn w:val="Normal"/>
    <w:uiPriority w:val="99"/>
    <w:semiHidden/>
    <w:rsid w:val="00603434"/>
    <w:pPr>
      <w:spacing w:after="200" w:line="276" w:lineRule="auto"/>
      <w:ind w:left="720"/>
    </w:pPr>
    <w:rPr>
      <w:rFonts w:ascii="Calibri" w:hAnsi="Calibri" w:cs="Calibri"/>
      <w:lang w:eastAsia="lv-LV"/>
    </w:rPr>
  </w:style>
  <w:style w:type="character" w:customStyle="1" w:styleId="xnormaltextrun">
    <w:name w:val="xnormaltextrun"/>
    <w:basedOn w:val="DefaultParagraphFont"/>
    <w:rsid w:val="0060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95830">
      <w:bodyDiv w:val="1"/>
      <w:marLeft w:val="0"/>
      <w:marRight w:val="0"/>
      <w:marTop w:val="0"/>
      <w:marBottom w:val="0"/>
      <w:divBdr>
        <w:top w:val="none" w:sz="0" w:space="0" w:color="auto"/>
        <w:left w:val="none" w:sz="0" w:space="0" w:color="auto"/>
        <w:bottom w:val="none" w:sz="0" w:space="0" w:color="auto"/>
        <w:right w:val="none" w:sz="0" w:space="0" w:color="auto"/>
      </w:divBdr>
      <w:divsChild>
        <w:div w:id="2119984062">
          <w:marLeft w:val="0"/>
          <w:marRight w:val="0"/>
          <w:marTop w:val="0"/>
          <w:marBottom w:val="0"/>
          <w:divBdr>
            <w:top w:val="none" w:sz="0" w:space="0" w:color="auto"/>
            <w:left w:val="none" w:sz="0" w:space="0" w:color="auto"/>
            <w:bottom w:val="none" w:sz="0" w:space="0" w:color="auto"/>
            <w:right w:val="none" w:sz="0" w:space="0" w:color="auto"/>
          </w:divBdr>
        </w:div>
        <w:div w:id="584731256">
          <w:marLeft w:val="0"/>
          <w:marRight w:val="0"/>
          <w:marTop w:val="0"/>
          <w:marBottom w:val="0"/>
          <w:divBdr>
            <w:top w:val="none" w:sz="0" w:space="0" w:color="auto"/>
            <w:left w:val="none" w:sz="0" w:space="0" w:color="auto"/>
            <w:bottom w:val="none" w:sz="0" w:space="0" w:color="auto"/>
            <w:right w:val="none" w:sz="0" w:space="0" w:color="auto"/>
          </w:divBdr>
        </w:div>
        <w:div w:id="2075348889">
          <w:marLeft w:val="0"/>
          <w:marRight w:val="0"/>
          <w:marTop w:val="0"/>
          <w:marBottom w:val="0"/>
          <w:divBdr>
            <w:top w:val="none" w:sz="0" w:space="0" w:color="auto"/>
            <w:left w:val="none" w:sz="0" w:space="0" w:color="auto"/>
            <w:bottom w:val="none" w:sz="0" w:space="0" w:color="auto"/>
            <w:right w:val="none" w:sz="0" w:space="0" w:color="auto"/>
          </w:divBdr>
        </w:div>
        <w:div w:id="1561355758">
          <w:marLeft w:val="0"/>
          <w:marRight w:val="0"/>
          <w:marTop w:val="0"/>
          <w:marBottom w:val="0"/>
          <w:divBdr>
            <w:top w:val="none" w:sz="0" w:space="0" w:color="auto"/>
            <w:left w:val="none" w:sz="0" w:space="0" w:color="auto"/>
            <w:bottom w:val="none" w:sz="0" w:space="0" w:color="auto"/>
            <w:right w:val="none" w:sz="0" w:space="0" w:color="auto"/>
          </w:divBdr>
          <w:divsChild>
            <w:div w:id="397020250">
              <w:marLeft w:val="0"/>
              <w:marRight w:val="0"/>
              <w:marTop w:val="0"/>
              <w:marBottom w:val="0"/>
              <w:divBdr>
                <w:top w:val="none" w:sz="0" w:space="0" w:color="auto"/>
                <w:left w:val="none" w:sz="0" w:space="0" w:color="auto"/>
                <w:bottom w:val="none" w:sz="0" w:space="0" w:color="auto"/>
                <w:right w:val="none" w:sz="0" w:space="0" w:color="auto"/>
              </w:divBdr>
            </w:div>
            <w:div w:id="393041332">
              <w:marLeft w:val="0"/>
              <w:marRight w:val="0"/>
              <w:marTop w:val="0"/>
              <w:marBottom w:val="0"/>
              <w:divBdr>
                <w:top w:val="none" w:sz="0" w:space="0" w:color="auto"/>
                <w:left w:val="none" w:sz="0" w:space="0" w:color="auto"/>
                <w:bottom w:val="none" w:sz="0" w:space="0" w:color="auto"/>
                <w:right w:val="none" w:sz="0" w:space="0" w:color="auto"/>
              </w:divBdr>
              <w:divsChild>
                <w:div w:id="977566359">
                  <w:marLeft w:val="0"/>
                  <w:marRight w:val="0"/>
                  <w:marTop w:val="0"/>
                  <w:marBottom w:val="0"/>
                  <w:divBdr>
                    <w:top w:val="none" w:sz="0" w:space="0" w:color="auto"/>
                    <w:left w:val="none" w:sz="0" w:space="0" w:color="auto"/>
                    <w:bottom w:val="none" w:sz="0" w:space="0" w:color="auto"/>
                    <w:right w:val="none" w:sz="0" w:space="0" w:color="auto"/>
                  </w:divBdr>
                  <w:divsChild>
                    <w:div w:id="15410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7950">
              <w:marLeft w:val="0"/>
              <w:marRight w:val="0"/>
              <w:marTop w:val="0"/>
              <w:marBottom w:val="0"/>
              <w:divBdr>
                <w:top w:val="none" w:sz="0" w:space="0" w:color="auto"/>
                <w:left w:val="none" w:sz="0" w:space="0" w:color="auto"/>
                <w:bottom w:val="none" w:sz="0" w:space="0" w:color="auto"/>
                <w:right w:val="none" w:sz="0" w:space="0" w:color="auto"/>
              </w:divBdr>
            </w:div>
            <w:div w:id="928999570">
              <w:marLeft w:val="0"/>
              <w:marRight w:val="0"/>
              <w:marTop w:val="0"/>
              <w:marBottom w:val="0"/>
              <w:divBdr>
                <w:top w:val="none" w:sz="0" w:space="0" w:color="auto"/>
                <w:left w:val="none" w:sz="0" w:space="0" w:color="auto"/>
                <w:bottom w:val="none" w:sz="0" w:space="0" w:color="auto"/>
                <w:right w:val="none" w:sz="0" w:space="0" w:color="auto"/>
              </w:divBdr>
            </w:div>
          </w:divsChild>
        </w:div>
        <w:div w:id="2108648986">
          <w:marLeft w:val="0"/>
          <w:marRight w:val="0"/>
          <w:marTop w:val="0"/>
          <w:marBottom w:val="0"/>
          <w:divBdr>
            <w:top w:val="none" w:sz="0" w:space="0" w:color="auto"/>
            <w:left w:val="none" w:sz="0" w:space="0" w:color="auto"/>
            <w:bottom w:val="none" w:sz="0" w:space="0" w:color="auto"/>
            <w:right w:val="none" w:sz="0" w:space="0" w:color="auto"/>
          </w:divBdr>
        </w:div>
        <w:div w:id="1700859119">
          <w:marLeft w:val="0"/>
          <w:marRight w:val="0"/>
          <w:marTop w:val="0"/>
          <w:marBottom w:val="0"/>
          <w:divBdr>
            <w:top w:val="none" w:sz="0" w:space="0" w:color="auto"/>
            <w:left w:val="none" w:sz="0" w:space="0" w:color="auto"/>
            <w:bottom w:val="none" w:sz="0" w:space="0" w:color="auto"/>
            <w:right w:val="none" w:sz="0" w:space="0" w:color="auto"/>
          </w:divBdr>
          <w:divsChild>
            <w:div w:id="6878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Malina@tm.gov.lv" TargetMode="External"/><Relationship Id="rId3" Type="http://schemas.openxmlformats.org/officeDocument/2006/relationships/settings" Target="settings.xml"/><Relationship Id="rId7" Type="http://schemas.openxmlformats.org/officeDocument/2006/relationships/hyperlink" Target="mailto:Amanda.Murniece@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html:file://C:\Users\Andrejs.Sisulins\OneDrive%20-%20VARAM\Documents\Atb.%20Par%20MK%20noteikumu%20projektu%20Noteikumi%20par%20&#299;pa&#353;iem%20ierobe&#382;ojumiem%20attiec&#299;b&#257;%20uz%20darb&#299;b&#257;m%20ar%20ozona%20sl&#257;ni%20no&#257;rdo&#353;&#257;m%20viel&#257;m%20un%20fluor&#275;t&#257;m%20siltumn&#299;cefekta%20g&#257;z&#275;m%20(VSS%20-%20755).mht!https://likumi.lv/ta/id/57980-latvijas-republikas-satversme" TargetMode="External"/><Relationship Id="rId5" Type="http://schemas.openxmlformats.org/officeDocument/2006/relationships/hyperlink" Target="mhtml:file://C:\Users\Andrejs.Sisulins\OneDrive%20-%20VARAM\Documents\Atb.%20Par%20MK%20noteikumu%20projektu%20Noteikumi%20par%20&#299;pa&#353;iem%20ierobe&#382;ojumiem%20attiec&#299;b&#257;%20uz%20darb&#299;b&#257;m%20ar%20ozona%20sl&#257;ni%20no&#257;rdo&#353;&#257;m%20viel&#257;m%20un%20fluor&#275;t&#257;m%20siltumn&#299;cefekta%20g&#257;z&#275;m%20(VSS%20-%20755).mht!https://likumi.lv/ta/id/57980-latvijas-republikas-satversm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6315</Words>
  <Characters>3601</Characters>
  <Application>Microsoft Office Word</Application>
  <DocSecurity>0</DocSecurity>
  <Lines>30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Madara Gaile</cp:lastModifiedBy>
  <cp:revision>3</cp:revision>
  <dcterms:created xsi:type="dcterms:W3CDTF">2021-04-29T14:07:00Z</dcterms:created>
  <dcterms:modified xsi:type="dcterms:W3CDTF">2021-05-08T08:05:00Z</dcterms:modified>
</cp:coreProperties>
</file>