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28. decembra noteikumos Nr. 1228 "Noteikumi par lielgabarīta un smagsvara pārvadājumu atļaujas izsniegšanas valsts nodevas apmēru, samaksas kārtību un atbrīvojumiem"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pielikumos atveidotā nodevas summas veidojošā shēma ir grūti uztverama, līdz ar to aicinām anotācijā aprakstīt šīs shēmas atšifrējumu ar dažiem piemēriem atainojot nodevas aprēķināšanas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Lielgabarīta un smagsvara pārvadājumu atļauja (turpmāk – atļauja) tiek izsniegta atbilstoši </w:t>
            </w:r>
            <w:r w:rsidR="00000000" w:rsidRPr="00000000" w:rsidDel="00000000">
              <w:rPr>
                <w:rtl w:val="0"/>
              </w:rPr>
              <w:t xml:space="preserve">Ministru kabineta 2010. gada 6. aprīļa noteikumiem Nr. 343 “Noteikumi par lielgabarīta un smagsvara pārvadājumiem“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2.punktā, kurš no projekta ir izsvītrots, tiktu iekļauta informācija, ka nodeva ir maksājama par atļaujas izsniegšanu noteiktiem laika periodiem, uzskaitot tos, proti, minot 4. un 6. punktā noteiktos periodus. Tāpat joprojām projekta anotācijā nav minēts, kādēļ konkrētā valsts nodeva tiek paredzēta par savādākiem periodiem, kā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projekta 2.punktā uzskaitīt visus periodus par kuriem atļauja tiek izsniegta un attiecīgi papildināt projekta anotāciju ar detalizētāku aprakstu, kādēļ ir izvēlēti tieši šie periodi un kādēļ tie ir atzīti par labākiem, kā iepriekšējie vai kādi citi periodi.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Nodevu noteiktajā termiņā maksā saskaņā ar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noteiktajām nodevas likmēm, summējot tās attiecīgajam pārvadājuma veidam un izvēlētajam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veikti redakcionāli precizējumi, kā rezultātā pēc pašreizējās redakcijas nav saprotams vai ar vārdiem “noteiktajā termiņā” tiek domāts periods par kuru tiek maksāta nodeva un saņemta atļauja, vai periods kādā jāveic maksājums pirms atļaujas saņemšanas. Lūdzam redakcionāli precizēt noteikumu projekta 5.punktu, lai no minētā teikuma tiktu saprasts, ka nodeva tiek maksāta par noteiktu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Saņemtajā skaidrojumā par iepriekš sniegto priekšlikumu sniegt prognozējamo fiskālo ietekmi uz valsts budžetu vai pamatojumu, kāpēc tās novērtēšana nav iespējama, ir minēts, ka veiktie ieņēmumu testa aprēķini (aptuvenie) liecina par nodevas ikgadējo ieņēmumu pieaugumu 4-5 reizes (1,4-1,8 milj. </w:t>
            </w:r>
            <w:r w:rsidR="00000000" w:rsidRPr="00000000" w:rsidDel="00000000">
              <w:rPr>
                <w:i w:val="1"/>
                <w:rtl w:val="0"/>
              </w:rPr>
              <w:t xml:space="preserve">euro</w:t>
            </w:r>
            <w:r w:rsidR="00000000" w:rsidRPr="00000000" w:rsidDel="00000000">
              <w:rPr>
                <w:rtl w:val="0"/>
              </w:rPr>
              <w:t xml:space="preserve">) no 2022.gada izpildes. Ņemot vērā, ka grozījumiem ir pozitīva fiskālā ietekme, atkārtoti lūdzam rast iespēju aizpildīt anotācijas 3.sadaļu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Aleksejs Meļihovs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Nodevas likmes pārvadājumam pa noteiktu maršrutu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ir izveidojusies gramatiska kļūda, proti, pirmā grafika 9. un 10. punktā pie kilogramu uzskaitījuma ir pievienota tonnu saīsinājumzīme.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21.03.2023.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22-TA-2689</w:t>
    </w:r>
    <w:r>
      <w:br/>
    </w:r>
    <w:r w:rsidR="00000000" w:rsidRPr="00000000" w:rsidDel="00000000">
      <w:rPr>
        <w:rtl w:val="0"/>
      </w:rPr>
      <w:t xml:space="preserve">Izdrukāts 21.03.2023.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Atzinumi_22-TA-2689.docx</dc:title>
</cp:coreProperties>
</file>

<file path=docProps/custom.xml><?xml version="1.0" encoding="utf-8"?>
<Properties xmlns="http://schemas.openxmlformats.org/officeDocument/2006/custom-properties" xmlns:vt="http://schemas.openxmlformats.org/officeDocument/2006/docPropsVTypes"/>
</file>