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2.1.1.1. pasākuma "Energoefektivitātes paaugstināšana dzīvojamās ēkās, t.sk. attīstot ESKO tirgu (daudzīvokļu, privātās un neliela dzīvokļu skaita ēku kompleksos)"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likums 19. panta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izdošanas pamatojumu ar atsauci uz Eiropas Savienības fondu 2021.—2027. gada plānošanas perioda vadības likuma (turpmāk - Likums) 19. panta 14. punktu, ņemot vērā, ka noteikumu projekts paredz kārtību, kā īsteno finanšu instrumentus. </w:t>
            </w:r>
            <w:r w:rsidR="00000000" w:rsidRPr="00000000" w:rsidDel="00000000">
              <w:rPr>
                <w:rtl w:val="0"/>
              </w:rPr>
              <w:t xml:space="preserve">Lūdzam atbilstoši minētajam deleģējumam precizēt arī noteikumu projekta 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pamatotību noteikumu projekta izdošanas pamatojumā norādīt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2.1.1.1. investīcijas ietvaros līdz 2029.gada 31.decembrim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7.punktu, skaidri un izsekojami izdalot sasniedzamo iznākuma rādītāju (mājokļi ar uzlabotu energoefektivitāti) un rezultāta rādītāju (kopējās primārās enerģijas patēriņa samazinājums) atbilstoši Eiropas Savienības kohēzijas politikas programmā 2021.-2027.gadam (turpmāk - Programma)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7.2. un 7.3.apakšpunktā norādīt, ka minētie rādītāji ir nacionālie rādītāji, jo šādi rādītāji nav iekļauti Programmā. Tāpat lūdzam noteikt, ka Ekonomikas ministrija kā atbildīgā iestāde nodrošinās nepieciešamo uzraudzību minētajiem nacionālajam 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Ekonomikas ministrijas iepriekš sniegtajai informācijai 2.1.1.1.pasākumam piemērojami šādi Programmas radītāji: Nr. RCR 26 "Gada primārās enerģijas patēriņš (tai skaitā: mājokļi, sabiedriskās ēkas, uzņēmumi, citi)" ar sasniedzamo vērtību 2029.gadā 112 595; RCO 18 "Mājokļi ar uzlabotu energoefektivitāti" ar sasniedzamo vērtību 2024.gadā 2000, 2029.gadā 13 450 un i.2.1.1.a "Mājokļi ar uzlabotu energoefektivitāti, kuros dzīvo enerģētikas nabadzības riskam pakļautas personas" ar sasniedzamo vērtību 2024.gadā 1000 un 2029.gadā 2017 (minētais sasniedzamo vērtību sadalījums vēl pirms pieteiktajiem Programmas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Programmā nav paredzēts iznākuma vai rezultāta rādītājs par atbalstīto daudzdzīvokļu māju platību, vienlaikus, atbilstoši 2.1.1. specifiskā atbalsta mērķa rādītāju metodoloģijas aprakstam secināms, ka platība noteikta pēc pieņēmumiem par vidējām izmaksām 1 m</w:t>
            </w:r>
            <w:r w:rsidR="00000000" w:rsidRPr="00000000" w:rsidDel="00000000">
              <w:rPr>
                <w:vertAlign w:val="superscript"/>
                <w:rtl w:val="0"/>
              </w:rPr>
              <w:t xml:space="preserve">2</w:t>
            </w:r>
            <w:r w:rsidR="00000000" w:rsidRPr="00000000" w:rsidDel="00000000">
              <w:rPr>
                <w:rtl w:val="0"/>
              </w:rPr>
              <w:t xml:space="preserve"> atjaunošanai (kopējais renovēto daudzdzīvokļu māju apjoms m</w:t>
            </w:r>
            <w:r w:rsidR="00000000" w:rsidRPr="00000000" w:rsidDel="00000000">
              <w:rPr>
                <w:vertAlign w:val="superscript"/>
                <w:rtl w:val="0"/>
              </w:rPr>
              <w:t xml:space="preserve">2</w:t>
            </w:r>
            <w:r w:rsidR="00000000" w:rsidRPr="00000000" w:rsidDel="00000000">
              <w:rPr>
                <w:rtl w:val="0"/>
              </w:rPr>
              <w:t xml:space="preserve"> nosakāms sekojoši: 149 142 857.14 / 199.88 EUR/m</w:t>
            </w:r>
            <w:r w:rsidR="00000000" w:rsidRPr="00000000" w:rsidDel="00000000">
              <w:rPr>
                <w:vertAlign w:val="superscript"/>
                <w:rtl w:val="0"/>
              </w:rPr>
              <w:t xml:space="preserve">2 </w:t>
            </w:r>
            <w:r w:rsidR="00000000" w:rsidRPr="00000000" w:rsidDel="00000000">
              <w:rPr>
                <w:rtl w:val="0"/>
              </w:rPr>
              <w:t xml:space="preserve">= 746 161 m</w:t>
            </w:r>
            <w:r w:rsidR="00000000" w:rsidRPr="00000000" w:rsidDel="00000000">
              <w:rPr>
                <w:vertAlign w:val="superscript"/>
                <w:rtl w:val="0"/>
              </w:rPr>
              <w:t xml:space="preserve">2</w:t>
            </w:r>
            <w:r w:rsidR="00000000" w:rsidRPr="00000000" w:rsidDel="00000000">
              <w:rPr>
                <w:rtl w:val="0"/>
              </w:rPr>
              <w:t xml:space="preserve"> ) un atbildīgajai iestādei informācija par atjaunoto daudzdzīvokļu ēku platību nepieciešama statistikas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2.1.1.1. investīcijai pieejamais finansējums ir 173 218 155 </w:t>
            </w:r>
            <w:r w:rsidR="00000000" w:rsidRPr="00000000" w:rsidDel="00000000">
              <w:rPr>
                <w:i w:val="1"/>
                <w:rtl w:val="0"/>
              </w:rPr>
              <w:t xml:space="preserve">euro</w:t>
            </w:r>
            <w:r w:rsidR="00000000" w:rsidRPr="00000000" w:rsidDel="00000000">
              <w:rPr>
                <w:rtl w:val="0"/>
              </w:rPr>
              <w:t xml:space="preserve">  (no tā elastības finansējuma apjoms – 23 222 755 </w:t>
            </w:r>
            <w:r w:rsidR="00000000" w:rsidRPr="00000000" w:rsidDel="00000000">
              <w:rPr>
                <w:i w:val="1"/>
                <w:rtl w:val="0"/>
              </w:rPr>
              <w:t xml:space="preserve">euro</w:t>
            </w:r>
            <w:r w:rsidR="00000000" w:rsidRPr="00000000" w:rsidDel="00000000">
              <w:rPr>
                <w:rtl w:val="0"/>
              </w:rPr>
              <w:t xml:space="preserve">), tai skaitā Eiropas Reģionālās attīstības fonda finansējums 147 235 431 </w:t>
            </w:r>
            <w:r w:rsidR="00000000" w:rsidRPr="00000000" w:rsidDel="00000000">
              <w:rPr>
                <w:i w:val="1"/>
                <w:rtl w:val="0"/>
              </w:rPr>
              <w:t xml:space="preserve">euro</w:t>
            </w:r>
            <w:r w:rsidR="00000000" w:rsidRPr="00000000" w:rsidDel="00000000">
              <w:rPr>
                <w:rtl w:val="0"/>
              </w:rPr>
              <w:t xml:space="preserve"> (no tā elastības finansējuma apjoms – 19 124 621 </w:t>
            </w:r>
            <w:r w:rsidR="00000000" w:rsidRPr="00000000" w:rsidDel="00000000">
              <w:rPr>
                <w:i w:val="1"/>
                <w:rtl w:val="0"/>
              </w:rPr>
              <w:t xml:space="preserve">euro</w:t>
            </w:r>
            <w:r w:rsidR="00000000" w:rsidRPr="00000000" w:rsidDel="00000000">
              <w:rPr>
                <w:rtl w:val="0"/>
              </w:rPr>
              <w:t xml:space="preserve">) un valsts budžeta līdzfinansējums – 25 982 724 </w:t>
            </w:r>
            <w:r w:rsidR="00000000" w:rsidRPr="00000000" w:rsidDel="00000000">
              <w:rPr>
                <w:i w:val="1"/>
                <w:rtl w:val="0"/>
              </w:rPr>
              <w:t xml:space="preserve">euro</w:t>
            </w:r>
            <w:r w:rsidR="00000000" w:rsidRPr="00000000" w:rsidDel="00000000">
              <w:rPr>
                <w:rtl w:val="0"/>
              </w:rPr>
              <w:t xml:space="preserve"> (no tā elastības finansējuma apjoms – 4 098 134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8.punktā norādīto Eiropas Reģionālās attīstības fonda elastības finansējumu uz 29 007 341 </w:t>
            </w:r>
            <w:r w:rsidR="00000000" w:rsidRPr="00000000" w:rsidDel="00000000">
              <w:rPr>
                <w:i w:val="1"/>
                <w:rtl w:val="0"/>
              </w:rPr>
              <w:t xml:space="preserve">euro</w:t>
            </w:r>
            <w:r w:rsidR="00000000" w:rsidRPr="00000000" w:rsidDel="00000000">
              <w:rPr>
                <w:rtl w:val="0"/>
              </w:rPr>
              <w:t xml:space="preserve"> un valsts budžeta elastības finansējumu uz 5 118 943</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sniegtajai informācijai pie Programmas grozījumiem, 2.1.1.1.pasākumam noteiktais elastības finansējums ietver arī elastības finansējumu par 2.1.1.2.pasakumu "AER izmantošana un energoefektivitātes paaugstināšana rūpniecībā un komersantos", t.sk. atbilstoši saskaņošanai saņemtajiem grozījumiem Ministru kabineta 2023.gada 5.septembra noteikumos Nr. 510 "Eiropas Savienības kohēzijas politikas programmas 2021.–2027. gadam finanšu instrumentu kopīgie īstenošanas noteikumi"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 plāno 2.1.1.1.pasākumam piemērot tikai šī pasākuma elastības finansējumu, lūdzam iesūtīt Finanšu ministrijai attiecīgus precizējumus Programmas papildinājumā.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šobrīd vēl nav pieņemti lēmumi par Programmas elastības finansējuma sadales principiem vai tvērumu ne kopumā, ne attiecībā uz Ekonomikas ministrijas pārziņā esošo investīciju elastības finansējumu, attiecīgi projektu īstenošanai, t.sk. projektu iesniegumu atlasēm, elastības finansējums nav pieejams. Ņemot vērā minēto, lūdzam pārskatīt un precizēt noteikumu projektā ietvertos nosacījumus par finansējumu, kāds ir pieejams projektiem (proti, bez elastības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un dzīvokļu īpašnieku pilnvarotās personas nodrošina Ekonomikas ministrijai un citām ES fondu īstenošanu un uzraudzību nodrošinošām institūcijām piekļuvi dokumentācijai, kas attiecināma uz projekta īstenošanu un 2.1.1.1. investīcijas ietvaros noteikto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20.punktā ietverto regulējumu. Vēršam uzmanību, ka atbilstoši Eiropas Savienības (turpmāk - ES) fondus regulējošiem normatīvajiem aktiem, piekļuve dokumentācijai ir atļauta iestādēm, kas nodrošina ES fondu investīciju un projektu īstenošanas uzraudzību. Vienlaikus vēršam uzmanību, ka attiecīgais nosacījums izriet gan no horizontālo nosacījumu, gan līgumu par projektu īstenošanu nosacījumiem, īpaši uz Altum, kas konkrētā specifiskā atbalsta mērķa ietvaros ir finansējuma saņēmējs. Ievērojot minēto, regulējumu nevajag dublēt.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pievienotās vērtības nodokļa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normas piemērošanu, lūdzam papildināt noteikumu projekta 28.8.apakšpunktu ar nosacījumu "ja tas nav atgūstams atbilstoši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pievienotās vērtības nodokļa izmaksas</w:t>
            </w:r>
            <w:r w:rsidR="00000000" w:rsidRPr="00000000" w:rsidDel="00000000">
              <w:rPr>
                <w:b w:val="1"/>
                <w:rtl w:val="0"/>
              </w:rPr>
              <w:t xml:space="preserve">, ja tas nav atgūstams atbilstoši normatīvajiem aktiem nodokļu politikas jomā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Dzīvokļu īpašniekiem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stratēģiski svarīgu projektu īsteno un tā papildu komunikācijas pasākumus veic atbilstoši Finanšu ministrijas vadlīnijās "Eiropas Savienības fondu 2021.–2027. gada plānošanas perioda un Atveseļošanas fonda komunikācijas un dizaina vadlīnijas" noteiktajam. Vēršam uzmanību, ka atbilstoši Programmas 3.pielikumamm "Stratēģiskas nozīmes darbības" 2.1.1.1.pasākums ir iekļauts kā pasākums, kura ietvaros tiks īstenoti stratēģiski svarīgi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minētā informācija nepieciešama regulārajai ziņošanai Eiropas Komisijai par stratēģiski svarīgo projektu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Dzīvokļu īpašniekiem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līmeņa regulējumā noteikto prasību ar ES fondu atbalstu izveidotās infrastruktūras rezultātu ilgtspējas un uzturēšanas nodrošināšanai, lūdzam papildināt noteikumu projektu ar jaunu punktu, kas nosaka, no kādiem līdzekļiem tiks nodrošināta pasākuma investīciju projektos sasniegto rezultātu ilgtspēja vai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no līdzekļiem, kas nav saistīti ar ES fonda finansējumu, segt projekta sadārdzinājumu un neattiecināmos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35.2.apakšpunktā un 79.punktā norādīto atsauci par neattiecināmiem izdevumiem, ņemot vērā, ka atbilstoši ES fondu vadības likuma anotācijai un Ministru kabineta 2022.gada 25.janvāra sēdes protokollēmumā (prot. Nr. 4 24. § 4. punkts) noteiktajam nozares ministrijas specifiskā atbalsta mērķa, ES fondu projekta plānošanas un īstenošanas posmā, tai skaitā veicot grozījumus specifiskā atbalsta mērķa īstenošanas kārtībā vai ES fondu projektā, neplāno neattiecināmās izmaksas, tas ir, izmaksas, kas nav saskaņā ar specifiskā atbalsta mērķa īstenošanas nosacījumiem vai pārsniedz pieejamo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Pilnvarotā persona piesakās finansējuma saņemšanai pie cita finansētāja vai sabiedrībā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Altum darbojas tirgus nepilnību apstākļos, kur tirgus (šajā gadījumā citi finansētāji) attiecīgo pakalpojumu (šajā gadījumā aizdevumu) nevar nodrošināt, lūdzam precizēt noteikumu projekta 37.punktu tā, lai skaidrs, ka dzīvokļu īpašnieki var pieteikties aizdevumam Altum tikai pēc tam, kad cits finansētājs ir apliecinājis vai kā citādi ir pierādāms, ka citi finansētāji aizdevumu konkrētajiem dzīvokļu īpašniekiem nesniedz. Skaidrojam, ka Altum darbības lēmumā – Eiropas Komisijas 2022.gada 18.novembra lēmums lietā SA.100013 (2022/N) "</w:t>
            </w:r>
            <w:r w:rsidR="00000000" w:rsidRPr="00000000" w:rsidDel="00000000">
              <w:rPr>
                <w:i w:val="1"/>
                <w:rtl w:val="0"/>
              </w:rPr>
              <w:t xml:space="preserve">Latvia Funding and remit of Altum until 2029"</w:t>
            </w:r>
            <w:r w:rsidR="00000000" w:rsidRPr="00000000" w:rsidDel="00000000">
              <w:rPr>
                <w:rtl w:val="0"/>
              </w:rPr>
              <w:t xml:space="preserve">, proti, tā 44.punktā ir noteikts, ka Altum sniedz finansējumu tikai tad, kad privātās finanšu institūcijas finansējumu nesniedz. Attiecīgi lūdzam pārskatīt arī noteikumu projekta citus attiecīgos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 uzskaites veidlapu par citu saņemto </w:t>
            </w:r>
            <w:r w:rsidR="00000000" w:rsidRPr="00000000" w:rsidDel="00000000">
              <w:rPr>
                <w:i w:val="1"/>
                <w:rtl w:val="0"/>
              </w:rPr>
              <w:t xml:space="preserve">de minimis</w:t>
            </w:r>
            <w:r w:rsidR="00000000" w:rsidRPr="00000000" w:rsidDel="00000000">
              <w:rPr>
                <w:rtl w:val="0"/>
              </w:rPr>
              <w:t xml:space="preserve"> atbalstu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ja projekta ietvaros tiek sniegts atbalsts dzīvokļu īpašniekiem, kas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2024.gada 1.jūlijā stājās spēkā grozījumi Ministru kabineta 2018. gada 21. novembra noteikumos Nr. 715 "De minimis atbalsta uzskaites un piešķiršanas kārtība", lūdzam noteikumu projekta 38.6. un 80.punktā svītrot atsauci uz un de minimis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Garantiju piešķiršanas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 ka investīcijas, kuras atbalsta ar finanšu instrumentu, dienā, kad pieņemts lēmums par investīcijām, nav fiziski pabeigtas vai pilnībā īstenotas.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Garantija sedz līdz 80 procentiem no cita finansētāja aizdevuma apmēra attiecināmajām izmaksām projekta īstenošanai. Pēc kapitāla atlaides izmaksāšanas tiek atbilstoši samazināts garantijas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samazināt garantijas apmēru, jo Regula paredz samazinājumu tikai šādos gadījumos, Regulas 68 (3):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 punkta b) apakšpunktu, ja subjekts, kas gūst labumu no garantijām, galasaņēmējiem saskaņā ar multiplikatora koeficientu nav izmaksājis plānoto jauno aizdevumu, kapitāla vai kvazikapitāla investīciju summu, attiecināmos izdevumus proporcionāli samazina.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 tiek piemērota aizdevuma pamatsummai, proti, izmaksātajai GS/mājas summai.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teikumu,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 risks projekta paredzētā finansējuma neapguvei (gadījumā, ja attiecināmības perioda beigās būs jāveic samazinājums jau attiecinātai un apgūtai projektu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Kovaļenko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78.1.2. likumam "Par valsts un pašvaldību dzīvojamo māju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saimniecisko darbību nav uzskatāma tikai daudzdzīvokļu mājā esošo neprivatizēto pašvaldībām piederošo dzīvokļu izīrēšana, biedrību un nodibinājumu īpašumā esošu dzīvokļu izīrēšana, īres tiesisko attiecību uzsākšana vai dzīvokļu uzturēšana, lai tos izīrētu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un atbilstoši aktuālajai praksei pietiek ar atsauci uz likumu "Par palīdzību dzīvokļa jautājumu risināšanā", lūdzam svītrot noteikumu projekta 78.1.2.apakšpunktu.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Piesakoties atbalstam, īpašniekam, kas atbilst šo noteikumu 77. punktam, ir tiesības norādīt, ka proporcionāli viņa īpašuma vai kopīpašuma daļai energoefektivitātes uzlabošanas  pasākuma izmaksas ir uzskatāmas par neattiecināmām un tiek segtas no citiem privātiem līdzekļiem bez valsts atbalsta, proporcionāli samazinot sabiedrības "Altum" atbalsta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paredz, ka struktūrām, kas īsteno finanšu instrumentus (īpašo fondu gadījumā) ir pienākums ievērot Kopīgo noteikumu regulas* 64.pantu par neattiecināmajām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ietekmi uz valsts budžetu atspoguļojot izmaiņu ailēs, 1., 1.1.punktā norādot Eiropas Reģionālās attīstības fonda finansējuma daļu, kas ir 85%, 2. un 2.1. punktā attiecīgi kopējā pieejamā finansējuma apmēru, savukārt 3., 3.1., 5. un 5.1.punktā - valsts budžeta finansējuma daļu, kas ir 15%. Vienlaikus lūdzam 6.punktā sniegt informāciju par finansējuma sadalījumu pa gadiem. Vienlaikus lūdzam precizēt tabulā norādītos gadus, ņemot vērā, ka kārtējais gads ir 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 (Anželika Osipova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šo noteikumu projektu tiek izstrādāta un nodrošināta jauna atbalsta programma daudzdzīvokļu māju energoefektivitātes uzlabošanai, lūdzam pievienot anotācijas pielikumu, kurā ietverti dati par programmas īstenošanu, kā arī izvērtēta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valdības lēmumu (Ministru kabineta 2023.gada 31.oktobra protokola Nr.54 34. § “Noteikumu projekts "Grozījumi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ir apstiprināts AS “Attīstības finanšu institūcija Altum”  (turpmāk - Altums) projekta Nr. 4.2.1.1/16/I/001 "Atbalsts daudzdzīvokļu dzīvojamo māju energoefektivitātes paaugstināšanas pasākumu īstenošanai daudzdzīvokļu māju dzīvokļu īpašniekiem" posmošanas risinājums, t.sk. paredzot projekta otro posmu īstenot 2.1.1.1.pasākumā un novirzot otrā posma īstenošanai finansējumu ne vairāk kā 3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kopumā informācija par posmoto projektu un nosacījumiem tā otrā posma īstenošanai ir iekļauta Ministru kabineta 2016.gada 15.marta noteikumos Nr.160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(MK noteikumi Nr. 160), lai nodrošinātu skaidru, izsekojamu un pēctecīgu informāciju par projekta otrā posma īstenošanu 2.1.1.1.pasākumā, lūdzam pārliecināties, ka nepieciešamie nosacījumi projekta otrā posma īstenošanai ir atbilstoši Finanšu ministrijas aktualizētajam posmošanas skaidrojumam**. Lūdzam izsekojamībai papildināt anotāciju ar atsauci uz MK noteikumiem Nr. 160, t.sk. sniedzot īsu informāciju par posmoto projektu (t.sk.  norādot tā identifikācijas numuru, nosaukumu, kā arī to, ka projekts posmots atbilstoši  Kopīgo noteikumu regulas*  118a.pantam).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i w:val="1"/>
                <w:rtl w:val="0"/>
              </w:rPr>
              <w:t xml:space="preserve">**Skaidrojums par projektu posmošanu starp ES fondu 2014.-2020. gada un 2021.-2027.gada plānošanas periodiem; pieejams: https://www.esfondi.lv/normativie-akti-un-dokumenti/2014-2020-planosanas-periods/skaidrojums-par-projektu-posmosanu-starp-es-fondu-2014-2020-gada-un-2021-2027-gada-planosanas-periodiem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nosaka 2.1.1.1.pasākuma mērķi un mērķa grupu atbilstoši Programmā noteiktajam, t.sk. ņemot vērā, ka 2.1.1.1.pasākuma mērķis nav norādīts arī Ministru kabineta 2023.gada 5.septembra noteikumos Nr. 510 "Eiropas Savienības kohēzijas politikas programmas 2021.–2027.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2.1.1.1.pasākuma ietvaros var tikt atbalstītas investīcijas, kuras būs finansiāli dzīvotspējīgas, un kurām nav atrasts pietiekams finansējums no tirgus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cits finansētājs – kredītiestāde, tās filiāle vai meitas sabiedrība, kas ir tiesīga sniegt finanšu pakalpojumus Latvijas Republikā, ieguldījumu fonds, kas ir tiesīgs sniegt finanšu pakalpojumus Latvijas Republikā, un starptautiska finanšu institūcija (piemēram, Eiropas Rekonstrukcijas un attīstības banka, Eiropas Investīciju banka, Ziemeļu Investīciju banka, Eiropas Padomes attīstības banka), ja tās papildus šo noteikumu 2.1. apakšpunktā noteiktajam sabiedrības "Altum" aizdevumam vai garantijai var izsniegt finansējumu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1.3.sadaļu ar skaidrojumu par noteikumu projekta 2.2.apakšpunktā minētā cita finansētāja -  starptautiskas finanšu institūcijas, piemēram, Eiropas Rekonstrukcijas un attīstības bankas, Eiropas Investīciju bankas, Ziemeļu Investīciju bankas un Eiropas Padomes attīstības bankas piesaisti.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ES fondu investīciju ieviešanas termiņš ir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9. punktu, lai nodrošinātu tiesību normas skaidru izpratni.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pasākumu īsteno līdz 2029. 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Atbalstu sabiedrība "Altum" sniedz dzīvokļu īpašniekiem, noslēdzot civiltiesisku līgumu ar pilnvaroto personu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kāda ir plānota strīdu risināšanas kārtība par atbalsta piešķiršanu, t.i., noraidot pieteikumu pirms civiltiesiskā līguma noslēgšanas. Nepieciešamības gadījumā, lai nodrošinātu prasību izsekojamību atbalsta saņēmējam, lūdzam atbilstoši papildināt noteikumu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Nepamatoti izmaksātās vai neatļauti izmantotās ES fondu finansējuma summas, ko sabiedrība "Altum" ir atguvusi, var tikt atkārtoti izmantotas 2.1.1.1. investīcijas ietvaros, ja atgūtie līdzekļi tiek izmantoti tam pašam mērķim, kam tie sākotnēji bija paredzēti.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 punktā precizēt vārdus "neatļauti izmantotais" vai skaidrot minēto regulējumu, jo tas rada interpretācijas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minētajā punktā lūdzam vārdu "ES fondu" vietā ietvert precīzu Eiropas Savienības fondu finansējuma avotu atbilstoši šo noteikumu regulējumam, t.i., Eiropas Reģionālās attīstības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Pilnvarotā persona nodrošina projekta informācijas pieejamību vismaz piecus gadus pēc pēdējā maksājuma veikšanas, bet, ja projekta ietvaros ir saņemts valsts atbalsts, tad nodrošina projekta informācijas pieejamību atbilstoši šo noteikumu 85.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 punktā ietverto atsauci uz noteikumu projekta 85. punktu, jo minētajā punktā nav noteikti informācijas pieejamības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īstenošanā atbalsta saņēmēji nepiemēro normatīvos aktus piegādātāju atlases jomā, izņemot atbalsta saņēmējus, kas ir pasūtītāji Publisko iepirkumu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plašāku zaļā publiskā iepirkuma, sociāli atbildīgu publisko iepirkumu un inovatīvu publisko iepirkumu izmantošanu, aicinām izvērtēt iespēju papildināt noteikumu projektu ar nosacījumu, ka gala saņēmēji, īstenojot investīciju projektus, var piemērot zaļo publisko iepirkumu, sociāli atbildīgu publisko iepirkumu, inovatīvu publisko iepirkumu vai tā elementus.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ministrijas veiktajā horizontālā principa "Nenodarīt būtisku kaitējumu" novērtējumā noteikts "..nosakot priekšnosacījumus piemērot zaļo publisko iepirkumu renovācijas materiālu izvēlē, tiks nodrošināta aprites ekonomikas principu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"Nenodarīt būtisku kaitējumu" novērtējumi pieejami: https://www.esfondi.lv/guidelines_and_regulations_assets/2021_2027/es_kohezijas_politikas_prro/hp-nenodarit-butisku-kaitejumu-noverteijumi-02.01.2023.zip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Energoefektivitātes uzlabošanas pasākumu un atjaunojamo energoresursu tehnoloģiju izmantošanas atbalstāmās darbības un attiecināmās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skaidrai uztverei, iesakām noteikumu projekta 28. punktā noteiktās atbalstāmās darbības un attiecināmās izmaksas izdalīt divos atsevišķos punktos, lai ir viennozīmīga izpratne, kas ir attiecināmas izmaksas un atbalstāmās darbības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projekta autoruzraudzība un būvuzraudzība;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28.5.apakšpunktu ar ierobežojumu 10% apmērā, vai arī papildināt anotāciju ar detalizētāku informāciju, kas pamato, kādēļ šāds ierobežojums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ES fondu 2021.-2027.gada plānošanas perioda attiecināmo izmaksu noteikšanas nosacījumiem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Vienlaikus atsevišķos, pamatotos gadījumos pieļaujams MK noteikumos par investīcijas īstenošanu noteikt citu slieksni jeb likmi, attiecīgajai atbildīgajai iestādei pamatojot šādu nepieciešamību (t.sk. vienkāršoto izmaksu izmantošanas gadījumā). Šādā gadījumā MK noteikumu anotācijā skaidro izņēmuma nepieciešamību, kur ar datiem pierāda minētā sliekšņa jeb likmes palielinājumu, t.sk. attiecībā uz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Svarena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Dzīvokļu īpašnieku pilnvarotā persona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 un/vai projektu īstenotājiem radītu skaidrību par to, kā tiek nodrošināta principu "Klimatdrošināšana" un "Nenodarīt būtisku kaitējumu" ievērošana, aicinām papildināt noteikumu projektu ar pienākumiem/ darbībām, kuras jāveic projektu īstenotājiem, t.sk par uzkrājamajiem datiem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2.1.1.1.pasākumam veikto horizontālā principa "Nenodarīt būtisku kaitējumu" novērtējumu un tajā iekļautās prasības, piemēram, par plānoto darbību sasaisti ar pielāgošanos klimata pārmaiņu mērķiem, lūdzam Ekonomikas ministriju izvērtēt nepieciešamību iekļaut attiecīgās prasības finansējuma saņēmējam un gala labuma guvējiem investīciju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minētajā novērtējumā 2.1.1.1.pasākumam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vairāki no prognozētajiem klimata pārmaiņu radītajiem riskiem būvniecībā ir saistīti ar nokrišņu intensitātes palielinājumu, tad ēku renovācija būs saskaņā ar prognozēto nokrišņu intensitātes palielinājumu, paredzot atbilstošus lietus notekūdens sistēmu risinājumus intensīvu nokrišņu gadījumiem, dodot priekšroku zaļās infrastruktūras elementiem, izmantojot dabā balstītus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viens no prognozētajiem klimata pārmaiņu izraisītajiem riskiem būvniecībā Latvijā ir iekštelpu pārkaršana, būvniecības projektos tiks paredzēti atbilstoši telpu dzesēšanas un ventilācijas risinājumi, lai nodrošinātu komforta temperatūru arī karstuma viļņu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Ēku konstrukciju risinājumos būs paredzēta atbilstoša hidroizolācija, lai samazinātu ēku bojājumu iespēju gruntsūdeņu svārstību dēļ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viennozīmīgi skaidri izsekojamu un tālākajos uzraudzības procesos monitorējamu informāciju, lūdzam papildināt anotāciju par 2.1.1.1.pasākuma ietvaros plānoto investīciju ietekmi (tieša, netieša, nav ietekmes) uz katru no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50 procenti, ja sasniegts šo noteikumu 22.1. apakšpunktā noteiktais mērķis un iesniegts pieteikums par atbalsta saņemšanu vismaz trīs kvartāla ietvaros esošām mājām;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Kvartāla atjaunošanās modelis ierobežos atbalsta maksimālās atlaides saņemšanu gan reģionos dzīvojošajiem daudzdzīvokļu mājas (viena ciemam var pat nebūt 3 daudzdzīvokļu mājas), gan Rīgā dzīvojošajiem, jo bieži vien iedzīvotājiem vienas daudzdzīvokļu mājas ietvaros grūti vienoties, t.sk. pieteikšanos arī aizdevumam (daļa no atbalsta paredz aizdevuma saistības). FI atbalsta modelis nenozīmē, ka dzīvokļu īpašniekiem nav jāņem kredīts, bet atjaunošanas izmaksas ir iekļautas ikmēneša ēkas/ dzīvokļa apsaimniekošanas rēķinā un nav energoefektivitātes garantijas nodrošinājums uz to, ka siltumenerģijas patēriņš pēc ēkas atjaunošanas patiešām būs tāds, kāds dzīvokļu īpašniekiem tika solīts.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lūgums izņemt “kvartāla pieejas ” ierobežojošo maksimālās atlaides saņemšanas nosacījumu un izmaksu palielinošo pieeju daudzdzīvokļu dzīvojamo māju atjaunošanai ar rūpnieciski ražotiem koka karkasa paneļiem.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Kovaļenko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28.2. apakšpunktā minēto dokumentu sagatavošanas izmaksas un šo noteikumu 28.6. apakšpunktā minētā pakalpojuma izmaksas ir attiecināmas, ja tās radušās ne agrāk kā no 2021.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vadības likuma 36. pants nosaka, ka projektā radušās izmaksas var uzskatīt par attiecināmām, ja tās radušās un samaksātas pēc 2021. gada 1. janvāra, un izmaksu attiecināmības nosacījumi, kas noteikti saskaņā ar šā likuma 19. panta 13. punktu, neparedz citu termiņu. Ņemot vērā noteikumu projekta 32. punkta regulējumu, lūdzam papildināt noteikumu projektu ar norādi, ar kuru brīdi ir attiecināmas pārējās noteikumu projekta 28. punktā noteiktās izmaksas, kā piemēram, noteikumu projekta 28.2. un 28.5. apakšpunktā noteiktās izmaksas. Lūdzam pārskatīt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Pilnvarotā persona projekta īstenošanas laikā nodrošina vizuālās identitātes prasības atbilstoši pilnvarotās personas un sabiedrības "Altum" noslēgtajā līgumā noteiktajām publicitātes un vizuālās identitātes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fondus regulējošajos normatīvajos aktos un praksē lietoto terminoloģiju, kā arī tiesību normas skaidrai izpratnei par tajā noteiktajiem pienākumiem, lūdzam izteikt noteikumu projekta 34. punktu piedāvātajā redakcijā.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Pilnvarotā persona nodrošina komunikācijas un vizuālās identitātes prasības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pieteiktos garantijai, dzīvokļu īpašnieki ar pilnvarotās personas un cita finansētāja starpniecību sabiedrībā "Altum" iesniedz garantijas pieteikumu un pievieno šo noteikumu 38.1., 38.2., 38.3., 38.4., 38.6. un 38.7. apakšpunktā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redakciju, jo noteikumu projektā nav 38.7.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ir pārkāpti regulas Nr. 2023/2831 nosacījumi, dzīvokļa īpašniekam (atbalsta saņēmējam) ir pienākums atmaksāt sabiedrībai "Altum" projekta ietvaros saņemto nelikumīgo valsts atbalstu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atbalsta saņēmējam ir skaidri visi nosacījumi un pienākumi, kas tam jāievēro, ja tiek saņemts de minimis atbalsts, lūdzam precizēt noteikumu projekta 91. punktu un izteikt to,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pārkāpti regulas Nr. 2023/2831 nosacījumi, dzīvokļa īpašniekam (de minimis atbalsta saņēmējam) ir pienākums atmaksāt sabiedrībai "Altum" projekta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sadaļas apakšsadaļu "Apraksts" ar norādi, uz kāda pilnvarojuma pamata noteikumu projekts ir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apakšsadaļas "Risinājuma apraksts" tabulas "Vispārīgi nosacījumi" punktu "Vizuālās identitātes prasības", ņemot vērā, ka punktā nekorekti norādīta atsauce uz Atveseļošanas un noturības mehānisma regulējošajiem normatīvajiem aktiem, attiecīgi lūdzam aizstāt vārdus un skaitļus "Eiropas Parlamenta un Padomes 2021. gada 12. februāra Regulas Nr. 2021/241 34. pantu un Eiropas Komisijas un Latvijas Republikas Atveseļošanas un noturības mehānisma finansēšanas nolīguma 10.pantu" ar vārdiem un skaitļiem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projekts neparedz sadarbības partnerus,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vērtējumu pēc satura un būtības par plānoto investīciju pienesumu tautsaimniecībai, lūdzam papildināt anotācijas 2.sadaļu ar investīciju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plānā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 sadaļas apakšsadaļu "Juridiskās personas" ar norādi uz Ekonomikas ministriju, Altum un citiem finansētājiem un atbalsta saņēmējiem, kā arī lūdzam izvērtēt nepieciešamību precizēt arī atbilstošo apakšsadaļu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sniegt informāciju par ministriju, kura nepieciešamo finansējumu pieprasīs, kā arī norādīt finansēšanas avotu -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 (Anželika Osipova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izsekojamu informāciju par 2.1.1.1.pasākuma ietvaros plānotā Eiropas Reģionālās attīstības fonda finansējuma dalījumu pa intervences kodiem atbilstoši Programmas papildinājumā noteiktajam, lūdzam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skaidri izsekojamu informāciju par 2.1.1.1. pasākuma ietvaros plānotā atbalsta demarkāciju, t.sk. jau pieejamo atbalstu Atveseļošanas un noturības mehānisma 1.2.1.1.i. investīcijā "Daudzdzīvokļu māju energoefektivitātes uzlabošana un pāreja uz atjaunojamo energoresursu tehnoloģiju izmantošanu", kā arī sinerģiju un papildinātību ar citiem Eiropas Savienības un citiem atbalsta instrumentiem, lūdzam papildināt anotāciju ar atbilstošu informāciju, t.sk. norādot, kā tiks nodrošināta demarkācija un dubultfinansējuma riska novēršana gadījumos, kad no dažādiem finanšu avotiem tiks atbalstītas vienas un tās pašas atbalstāmās darbības,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09.08.2024.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09.08.2024.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