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radītās administratīvā sloga izmaiņas un, konstatējot administratīvo izmaksu izmaiņas, veikt to monetāro novērtējumu un attiecīgi papildināt anotācijas 2.3. un 2.4.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apakšpunktā norādīts, ka ar projektu tiek paplašināts dzīvokļu īpašnieku kopības pārstāvju loks, kā arī noteikts pienākums atsevišķos gadījumos iesniegt ēkas pagaidu energosertifikāta pārrēķinu. Vienlaikus projekts paplašina to elektroenerģijas ražošanas iekārtu tvērumu, uz kurām attiecas atbalsts un ar tā saņemšanu saistītās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salīdzinājumā ar spēkā esošo regulējumu minētās izmaiņas maina informācijas sniegšanas pienākumu izpildei nepieciešamo darbību apjomu, to izpildes biežumu vai personu loku, kas šos pienākumus izpilda. Konstatējot administratīvo izmaksu izmaiņas, lūdzam veikt to monetāro novērtējumu attiecīgajām mērķa grupām un atspoguļot to anotācijas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norādīt pantus/punktus par kuriem veikts aprēķins un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2.1. apakšpunktā sniegto informāciju par projekta ietekmētajām sabiedrības grupām un projekta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kā projekta ietekmētā sabiedrības grupa norādīti tikai daudzdzīvokļu māju dzīvokļu īpašnieki – fiziskās personas, savukārt juridiskajām personām norādīts, ka projekts šo grupu neskar. Vienlaikus ar projektu tiek precizēts un paplašināts to personu loks, kuras var pārstāvēt dzīvokļu īpašnieku kopību, paredzot, ka pārstāvis var būt gan fiziska, gan juridiska persona, kā arī projektā paredzētas citas izmaiņas atbalsta saņemšanas un projekta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pārskatīt projektā faktiski ietekmētās mērķa grupas un papildināt ietekmes aprakstu, raksturojot tieši projekta radītās izmaiņas attiecīgajām mērķa grupām, nevis vispārīgi norādot uz atbalsta sniegšanu daudzdzīvokļu māju dzīvokļu īpašniekiem. Vēršam uzmanību, ka šobrīd ietekmes apraksts raksturo spēkā esošo regulējumu, nevis grozījumu radīto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apakšpunktā norādīto projekta mērķi, formulējot to kā ar projektu sasniedzamo rezultātu, nevis kā tiesību akta grozījumu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nodrošināt, ka mērķa formulējums aptver projektā paredzētās būtiskākās izmaiņas, tostarp ne tikai elektroenerģijas ražošanas iekārtu atbalsta nosacījumu precizēšanu, bet arī dzīvokļu īpašnieku kopības pārstāvības un citus ar atbalsta saņemšanu un īstenošanu saistītos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7.4. apakšpunktā sniegto novērtējumu, ņemot vērā projektā paredzētās izmaiņas atbalsta administrēšanas nosacījumos un Altum iesniedzamajā dokumentācijā, un attiecīgi atspoguļot projekta ietekmi uz institūcijas veicamajiem procesiem, ja tāda tiek konstatēta.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14.08.2026.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14.08.2026.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Atzinumi_26-TA-1613.docx</dc:title>
</cp:coreProperties>
</file>

<file path=docProps/custom.xml><?xml version="1.0" encoding="utf-8"?>
<Properties xmlns="http://schemas.openxmlformats.org/officeDocument/2006/custom-properties" xmlns:vt="http://schemas.openxmlformats.org/officeDocument/2006/docPropsVTypes"/>
</file>