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FC3" w:rsidRDefault="009E0FC3" w:rsidP="009E0FC3">
      <w:pPr>
        <w:rPr>
          <w:rFonts w:ascii="Calibri" w:eastAsia="Times New Roman" w:hAnsi="Calibri"/>
          <w:sz w:val="22"/>
          <w:szCs w:val="22"/>
          <w:lang w:val="en-US"/>
        </w:rPr>
      </w:pPr>
      <w:bookmarkStart w:id="0" w:name="_MailOriginal"/>
      <w:r>
        <w:rPr>
          <w:rFonts w:ascii="Calibri" w:eastAsia="Times New Roman" w:hAnsi="Calibri"/>
          <w:b/>
          <w:bCs/>
          <w:sz w:val="22"/>
          <w:szCs w:val="22"/>
          <w:lang w:val="en-US"/>
        </w:rPr>
        <w:t>From:</w:t>
      </w:r>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Inguna</w:t>
      </w:r>
      <w:proofErr w:type="spellEnd"/>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Dancīte</w:t>
      </w:r>
      <w:proofErr w:type="spellEnd"/>
      <w:r>
        <w:rPr>
          <w:rFonts w:ascii="Calibri" w:eastAsia="Times New Roman" w:hAnsi="Calibri"/>
          <w:sz w:val="22"/>
          <w:szCs w:val="22"/>
          <w:lang w:val="en-US"/>
        </w:rPr>
        <w:t xml:space="preserve"> [mailto:inguna.dancite@fm.gov.lv] </w:t>
      </w:r>
      <w:r>
        <w:rPr>
          <w:rFonts w:ascii="Calibri" w:eastAsia="Times New Roman" w:hAnsi="Calibri"/>
          <w:b/>
          <w:bCs/>
          <w:sz w:val="22"/>
          <w:szCs w:val="22"/>
          <w:lang w:val="en-US"/>
        </w:rPr>
        <w:t xml:space="preserve">On Behalf Of </w:t>
      </w:r>
      <w:r>
        <w:rPr>
          <w:rFonts w:ascii="Calibri" w:eastAsia="Times New Roman" w:hAnsi="Calibri"/>
          <w:sz w:val="22"/>
          <w:szCs w:val="22"/>
          <w:lang w:val="en-US"/>
        </w:rPr>
        <w:t>Pasts</w:t>
      </w:r>
      <w:r>
        <w:rPr>
          <w:rFonts w:ascii="Calibri" w:eastAsia="Times New Roman" w:hAnsi="Calibri"/>
          <w:sz w:val="22"/>
          <w:szCs w:val="22"/>
          <w:lang w:val="en-US"/>
        </w:rPr>
        <w:br/>
      </w:r>
      <w:r>
        <w:rPr>
          <w:rFonts w:ascii="Calibri" w:eastAsia="Times New Roman" w:hAnsi="Calibri"/>
          <w:b/>
          <w:bCs/>
          <w:sz w:val="22"/>
          <w:szCs w:val="22"/>
          <w:lang w:val="en-US"/>
        </w:rPr>
        <w:t>Sent:</w:t>
      </w:r>
      <w:r>
        <w:rPr>
          <w:rFonts w:ascii="Calibri" w:eastAsia="Times New Roman" w:hAnsi="Calibri"/>
          <w:sz w:val="22"/>
          <w:szCs w:val="22"/>
          <w:lang w:val="en-US"/>
        </w:rPr>
        <w:t xml:space="preserve"> Tuesday, July 03, 2018 4:49 PM</w:t>
      </w:r>
      <w:r>
        <w:rPr>
          <w:rFonts w:ascii="Calibri" w:eastAsia="Times New Roman" w:hAnsi="Calibri"/>
          <w:sz w:val="22"/>
          <w:szCs w:val="22"/>
          <w:lang w:val="en-US"/>
        </w:rPr>
        <w:br/>
      </w:r>
      <w:r>
        <w:rPr>
          <w:rFonts w:ascii="Calibri" w:eastAsia="Times New Roman" w:hAnsi="Calibri"/>
          <w:b/>
          <w:bCs/>
          <w:sz w:val="22"/>
          <w:szCs w:val="22"/>
          <w:lang w:val="en-US"/>
        </w:rPr>
        <w:t>To:</w:t>
      </w:r>
      <w:r>
        <w:rPr>
          <w:rFonts w:ascii="Calibri" w:eastAsia="Times New Roman" w:hAnsi="Calibri"/>
          <w:sz w:val="22"/>
          <w:szCs w:val="22"/>
          <w:lang w:val="en-US"/>
        </w:rPr>
        <w:t xml:space="preserve"> VARAM &lt;pasts@varam.gov.lv&gt;</w:t>
      </w:r>
      <w:r>
        <w:rPr>
          <w:rFonts w:ascii="Calibri" w:eastAsia="Times New Roman" w:hAnsi="Calibri"/>
          <w:sz w:val="22"/>
          <w:szCs w:val="22"/>
          <w:lang w:val="en-US"/>
        </w:rPr>
        <w:br/>
      </w:r>
      <w:r>
        <w:rPr>
          <w:rFonts w:ascii="Calibri" w:eastAsia="Times New Roman" w:hAnsi="Calibri"/>
          <w:b/>
          <w:bCs/>
          <w:sz w:val="22"/>
          <w:szCs w:val="22"/>
          <w:lang w:val="en-US"/>
        </w:rPr>
        <w:t>Cc:</w:t>
      </w:r>
      <w:r>
        <w:rPr>
          <w:rFonts w:ascii="Calibri" w:eastAsia="Times New Roman" w:hAnsi="Calibri"/>
          <w:sz w:val="22"/>
          <w:szCs w:val="22"/>
          <w:lang w:val="en-US"/>
        </w:rPr>
        <w:t xml:space="preserve"> Inga Tapiņa &lt;Inga.Tapina@varam.gov.lv&gt;; Sabīne Ālmane &lt;sabine.almane@fm.gov.lv&gt;; Ilze </w:t>
      </w:r>
      <w:proofErr w:type="spellStart"/>
      <w:r>
        <w:rPr>
          <w:rFonts w:ascii="Calibri" w:eastAsia="Times New Roman" w:hAnsi="Calibri"/>
          <w:sz w:val="22"/>
          <w:szCs w:val="22"/>
          <w:lang w:val="en-US"/>
        </w:rPr>
        <w:t>Kreicberga</w:t>
      </w:r>
      <w:proofErr w:type="spellEnd"/>
      <w:r>
        <w:rPr>
          <w:rFonts w:ascii="Calibri" w:eastAsia="Times New Roman" w:hAnsi="Calibri"/>
          <w:sz w:val="22"/>
          <w:szCs w:val="22"/>
          <w:lang w:val="en-US"/>
        </w:rPr>
        <w:t xml:space="preserve"> &lt;ilze.kreicberga@fm.gov.lv&gt;; </w:t>
      </w:r>
      <w:proofErr w:type="spellStart"/>
      <w:r>
        <w:rPr>
          <w:rFonts w:ascii="Calibri" w:eastAsia="Times New Roman" w:hAnsi="Calibri"/>
          <w:sz w:val="22"/>
          <w:szCs w:val="22"/>
          <w:lang w:val="en-US"/>
        </w:rPr>
        <w:t>Līga</w:t>
      </w:r>
      <w:proofErr w:type="spellEnd"/>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Rozenberga</w:t>
      </w:r>
      <w:proofErr w:type="spellEnd"/>
      <w:r>
        <w:rPr>
          <w:rFonts w:ascii="Calibri" w:eastAsia="Times New Roman" w:hAnsi="Calibri"/>
          <w:sz w:val="22"/>
          <w:szCs w:val="22"/>
          <w:lang w:val="en-US"/>
        </w:rPr>
        <w:t xml:space="preserve"> &lt;Liga.Rozenberga@vni.lv&gt;; Vita </w:t>
      </w:r>
      <w:proofErr w:type="spellStart"/>
      <w:r>
        <w:rPr>
          <w:rFonts w:ascii="Calibri" w:eastAsia="Times New Roman" w:hAnsi="Calibri"/>
          <w:sz w:val="22"/>
          <w:szCs w:val="22"/>
          <w:lang w:val="en-US"/>
        </w:rPr>
        <w:t>Bružas</w:t>
      </w:r>
      <w:proofErr w:type="spellEnd"/>
      <w:r>
        <w:rPr>
          <w:rFonts w:ascii="Calibri" w:eastAsia="Times New Roman" w:hAnsi="Calibri"/>
          <w:sz w:val="22"/>
          <w:szCs w:val="22"/>
          <w:lang w:val="en-US"/>
        </w:rPr>
        <w:t xml:space="preserve"> &lt;Vita.Bruzas@vni.lv&gt;</w:t>
      </w:r>
      <w:r>
        <w:rPr>
          <w:rFonts w:ascii="Calibri" w:eastAsia="Times New Roman" w:hAnsi="Calibri"/>
          <w:sz w:val="22"/>
          <w:szCs w:val="22"/>
          <w:lang w:val="en-US"/>
        </w:rPr>
        <w:br/>
      </w:r>
      <w:r>
        <w:rPr>
          <w:rFonts w:ascii="Calibri" w:eastAsia="Times New Roman" w:hAnsi="Calibri"/>
          <w:b/>
          <w:bCs/>
          <w:sz w:val="22"/>
          <w:szCs w:val="22"/>
          <w:lang w:val="en-US"/>
        </w:rPr>
        <w:t>Subject:</w:t>
      </w:r>
      <w:r>
        <w:rPr>
          <w:rFonts w:ascii="Calibri" w:eastAsia="Times New Roman" w:hAnsi="Calibri"/>
          <w:sz w:val="22"/>
          <w:szCs w:val="22"/>
          <w:lang w:val="en-US"/>
        </w:rPr>
        <w:t xml:space="preserve"> FM </w:t>
      </w:r>
      <w:proofErr w:type="spellStart"/>
      <w:r>
        <w:rPr>
          <w:rFonts w:ascii="Calibri" w:eastAsia="Times New Roman" w:hAnsi="Calibri"/>
          <w:sz w:val="22"/>
          <w:szCs w:val="22"/>
          <w:lang w:val="en-US"/>
        </w:rPr>
        <w:t>atzinums</w:t>
      </w:r>
      <w:proofErr w:type="spellEnd"/>
      <w:r>
        <w:rPr>
          <w:rFonts w:ascii="Calibri" w:eastAsia="Times New Roman" w:hAnsi="Calibri"/>
          <w:sz w:val="22"/>
          <w:szCs w:val="22"/>
          <w:lang w:val="en-US"/>
        </w:rPr>
        <w:t xml:space="preserve"> par </w:t>
      </w:r>
      <w:proofErr w:type="spellStart"/>
      <w:r>
        <w:rPr>
          <w:rFonts w:ascii="Calibri" w:eastAsia="Times New Roman" w:hAnsi="Calibri"/>
          <w:sz w:val="22"/>
          <w:szCs w:val="22"/>
          <w:lang w:val="en-US"/>
        </w:rPr>
        <w:t>precizēto</w:t>
      </w:r>
      <w:proofErr w:type="spellEnd"/>
      <w:r>
        <w:rPr>
          <w:rFonts w:ascii="Calibri" w:eastAsia="Times New Roman" w:hAnsi="Calibri"/>
          <w:sz w:val="22"/>
          <w:szCs w:val="22"/>
          <w:lang w:val="en-US"/>
        </w:rPr>
        <w:t xml:space="preserve"> TAP, VSS-46</w:t>
      </w:r>
    </w:p>
    <w:p w:rsidR="009E0FC3" w:rsidRDefault="009E0FC3" w:rsidP="009E0FC3"/>
    <w:p w:rsidR="009E0FC3" w:rsidRDefault="009E0FC3" w:rsidP="009E0FC3">
      <w:r>
        <w:t>03.07.2018.  Nr.10.1-6/7-1/860</w:t>
      </w:r>
    </w:p>
    <w:p w:rsidR="009E0FC3" w:rsidRDefault="009E0FC3" w:rsidP="009E0FC3">
      <w:pPr>
        <w:rPr>
          <w:rFonts w:ascii="Calibri" w:hAnsi="Calibri"/>
          <w:color w:val="1F497D"/>
          <w:sz w:val="22"/>
          <w:szCs w:val="22"/>
        </w:rPr>
      </w:pPr>
    </w:p>
    <w:p w:rsidR="009E0FC3" w:rsidRDefault="009E0FC3" w:rsidP="009E0FC3">
      <w:r>
        <w:t>Labdien!</w:t>
      </w:r>
    </w:p>
    <w:p w:rsidR="009E0FC3" w:rsidRDefault="009E0FC3" w:rsidP="009E0FC3"/>
    <w:p w:rsidR="009E0FC3" w:rsidRDefault="009E0FC3" w:rsidP="001F53C0">
      <w:pPr>
        <w:jc w:val="both"/>
      </w:pPr>
      <w:r>
        <w:t>Finanšu ministrija atbilstoši kompetencei ir izskatījusi Vides aizsardzības un reģionālās attīstības ministrijas precizēto Ministru kabineta noteikumu projektu “Noteikumi par publisko ūdeņu nomu” (VSS-46) (turpmāk – noteikumu projekts), sākotnējās ietekmes novērtējuma ziņojumu (anotāciju) un izziņu par atzinumos sniegtajiem iebildumiem, un izsaka tālāk minētos iebildumus un priekšlikumus.</w:t>
      </w:r>
    </w:p>
    <w:p w:rsidR="009E0FC3" w:rsidRDefault="009E0FC3" w:rsidP="009E0FC3"/>
    <w:p w:rsidR="009E0FC3" w:rsidRDefault="009E0FC3" w:rsidP="009E0FC3">
      <w:pPr>
        <w:jc w:val="both"/>
        <w:rPr>
          <w:b/>
          <w:bCs/>
          <w:u w:val="single"/>
        </w:rPr>
      </w:pPr>
      <w:r>
        <w:rPr>
          <w:b/>
          <w:bCs/>
          <w:u w:val="single"/>
        </w:rPr>
        <w:t>Iebildumi:</w:t>
      </w:r>
    </w:p>
    <w:p w:rsidR="009E0FC3" w:rsidRDefault="009E0FC3" w:rsidP="009E0FC3">
      <w:pPr>
        <w:jc w:val="both"/>
        <w:rPr>
          <w:b/>
          <w:bCs/>
          <w:u w:val="single"/>
        </w:rPr>
      </w:pPr>
      <w:r>
        <w:rPr>
          <w:color w:val="000000"/>
        </w:rPr>
        <w:t xml:space="preserve">1. Noteikumu projekta 16.punkts paredz normu, ka, rīkojot nomas tiesību izsoli, solīšanu sāk no neatkarīga vērtētāja atbilstoši tirgus novērtējumam (noteikumu </w:t>
      </w:r>
      <w:r>
        <w:t>projekta 17.punkts) noteiktā sākotnējā nomas maksas apmēra, piemērojot noteikto soli augšup vai lejup ejošā virzienā.</w:t>
      </w:r>
      <w:bookmarkStart w:id="1" w:name="_GoBack"/>
      <w:bookmarkEnd w:id="1"/>
    </w:p>
    <w:p w:rsidR="009E0FC3" w:rsidRDefault="009E0FC3" w:rsidP="009E0FC3">
      <w:pPr>
        <w:pStyle w:val="NormalWeb"/>
        <w:jc w:val="both"/>
      </w:pPr>
      <w:r>
        <w:t xml:space="preserve">Vēršam uzmanību, ka Publiskas personas finanšu līdzekļu un mantas izšķērdēšanas novēršanas likuma </w:t>
      </w:r>
      <w:proofErr w:type="gramStart"/>
      <w:r>
        <w:t>3.pantā</w:t>
      </w:r>
      <w:proofErr w:type="gramEnd"/>
      <w:r>
        <w:t xml:space="preserve"> publiskām personām ir noteikts pienākums lietderīgi rīkoties ar finanšu līdzekļiem un mantu, kas ietver mantas nodošanu lietošanā citai personai par iespējami augstāko cenu. No noteikumu projekta un tā anotācijas nav saprotams pamatojums, kādēļ noteikumu projektā iekļauts šāds regulējums.</w:t>
      </w:r>
    </w:p>
    <w:p w:rsidR="009E0FC3" w:rsidRDefault="009E0FC3" w:rsidP="009E0FC3">
      <w:pPr>
        <w:pStyle w:val="NormalWeb"/>
        <w:jc w:val="both"/>
      </w:pPr>
      <w:r>
        <w:rPr>
          <w:color w:val="000000"/>
        </w:rPr>
        <w:t xml:space="preserve">Atkārtoti vēršam uzmanību, ka, ja publiskos ūdeņus ir plānots iznomāt nomniekam saimnieciskās darbības veikšanai, lai izslēgtu konkrētam nomniekam - saimnieciskās darbības veicējam ekonomisko priekšrocību, ir jāievēro, </w:t>
      </w:r>
      <w:proofErr w:type="gramStart"/>
      <w:r>
        <w:rPr>
          <w:color w:val="000000"/>
        </w:rPr>
        <w:t>ka vai nu darījums noticis, ievērojot pietiekami plaši publicētu, atklātu un beznosacījumu konkursa procedūru, kā rezultātā pieņemot vislabāko vai vienīgo cenas</w:t>
      </w:r>
      <w:proofErr w:type="gramEnd"/>
      <w:r>
        <w:rPr>
          <w:color w:val="000000"/>
        </w:rPr>
        <w:t xml:space="preserve"> piedāvājumu, kas atbilst tirgus vērtībai; vai darījumam ir jābūt veiktam saskaņā ar tirgus nosacījumiem un par tirgus vērtību, ko noteikuši neatkarīgi vērtētāji, pamatojoties uz vispārpieņemtiem tirgus rādītājiem un vērtēšanas standarta metodēm. Ņemot vērā minēto, rīkojot nomas tiesību izsoli, solīšanu sākot no sākotnēji noteiktās publisko ūdeņu tirgus nomas maksas, nevar piemērot soli lejup ejošā virzienā, jo tādejādi tiek noteikta nomas maksa, kas ir zemāka par tirgus nomas maksu. Papildus norādām, ka valsts atbalsta kontekstā saskaņā ar iepriekš skaidroto, nosakot tirgus nomas maksu plaši publicētā, atklātā un beznosacījumu konkursa procedūrā, sākotnēji noteiktā publisko ūdeņu tirgus nomas maksa nav </w:t>
      </w:r>
      <w:r>
        <w:t>obligāti jānosaka saskaņā ar neatkarīga vērtētāja vērtējumu. </w:t>
      </w:r>
    </w:p>
    <w:p w:rsidR="009E0FC3" w:rsidRDefault="009E0FC3" w:rsidP="009E0FC3">
      <w:pPr>
        <w:pStyle w:val="NormalWeb"/>
        <w:jc w:val="both"/>
      </w:pPr>
      <w:r>
        <w:t>Ņemot vērā iepriekš minēto, nepiekrītam noteikumu projektā ietvertajam regulējumam, kas pieļautu rīkot izsoli ar soli lejup ejošā virzienā un lūdzam noteikumu projektā ietvert līdzīgu (vai tādu pašu) regulējumu</w:t>
      </w:r>
      <w:proofErr w:type="gramStart"/>
      <w:r>
        <w:t xml:space="preserve"> kā piemēram</w:t>
      </w:r>
      <w:proofErr w:type="gramEnd"/>
      <w:r>
        <w:t>, Ministru kabineta 2018. gada 19. jūnija noteikumos Nr.350 “Publiskas personas zemes nomas un apbūves tiesības noteikumi” (turpmāk – MK noteikumi Nr.350), kur ir noteikts regulējums, ka gadījumā, ja neapbūvēta zemesgabala izsolē nav pieteicies neviens pretendents, tad izsoles sākuma nomas maksu var pazemināt ne vairāk kā par 20% un rīkot atkārtotu izsoli. Tāpat lūdzam precizēt noteikumu projekta 17.punktā vārdus “</w:t>
      </w:r>
      <w:r>
        <w:rPr>
          <w:i/>
          <w:iCs/>
        </w:rPr>
        <w:t>visos gadījumos nosaka</w:t>
      </w:r>
      <w:r>
        <w:t xml:space="preserve">” </w:t>
      </w:r>
      <w:r>
        <w:lastRenderedPageBreak/>
        <w:t>aizstājot ar vārdiem “</w:t>
      </w:r>
      <w:r>
        <w:rPr>
          <w:i/>
          <w:iCs/>
        </w:rPr>
        <w:t>var noteikt</w:t>
      </w:r>
      <w:r>
        <w:t xml:space="preserve">” un atbilstoši precizēt arī noteikuma projekta anotāciju. </w:t>
      </w:r>
    </w:p>
    <w:p w:rsidR="009E0FC3" w:rsidRDefault="009E0FC3" w:rsidP="009E0FC3">
      <w:pPr>
        <w:pStyle w:val="NormalWeb"/>
        <w:jc w:val="both"/>
      </w:pPr>
    </w:p>
    <w:p w:rsidR="009E0FC3" w:rsidRDefault="009E0FC3" w:rsidP="009E0FC3">
      <w:pPr>
        <w:pStyle w:val="NormalWeb"/>
        <w:jc w:val="both"/>
      </w:pPr>
      <w:r>
        <w:t xml:space="preserve">2. Lai nodrošinātu publisko ūdeņu nomas maksas atbilstību tirgus nomas maksai visā nomas termiņā, noteikumu projektā jāparedz nosacījums, ka iznomātājs nomas maksas apmēru vienpusēji pārskata un maina atbilstoši nepieciešamībai un tirgus situācijai ne retāk kā Publiskas personas finanšu līdzekļu un mantas izšķērdēšanas novēršanas likumā noteiktajā termiņā un gadījumā, ja nomas objekts tiek iznomāts saimnieciskās darbības veikšanai, kurai atbalsts samazinātas nomas maksas veidā kvalificētos kā komercdarbības atbalsts, pārskatāmajam nomas maksas apmēram ir jāatbilst vismaz neatkarīga vērtētāja noteiktajai tirgus nomas maksai. </w:t>
      </w:r>
      <w:proofErr w:type="gramStart"/>
      <w:r>
        <w:t>Attiecīgi,</w:t>
      </w:r>
      <w:proofErr w:type="gramEnd"/>
      <w:r>
        <w:t xml:space="preserve"> lūdzam papildināt noteikumu projektu un atbilstoši arī noteikuma projekta anotāciju. </w:t>
      </w:r>
    </w:p>
    <w:p w:rsidR="009E0FC3" w:rsidRDefault="009E0FC3" w:rsidP="009E0FC3">
      <w:pPr>
        <w:pStyle w:val="NormalWeb"/>
        <w:ind w:hanging="357"/>
        <w:jc w:val="both"/>
      </w:pPr>
    </w:p>
    <w:p w:rsidR="009E0FC3" w:rsidRDefault="009E0FC3" w:rsidP="009E0FC3">
      <w:pPr>
        <w:pStyle w:val="NormalWeb"/>
        <w:jc w:val="both"/>
        <w:rPr>
          <w:color w:val="000000"/>
        </w:rPr>
      </w:pPr>
      <w:r>
        <w:t xml:space="preserve">3. Noteikumu projekta 20.punkts paredz </w:t>
      </w:r>
      <w:r>
        <w:rPr>
          <w:color w:val="000000"/>
        </w:rPr>
        <w:t xml:space="preserve">normu, ka pēc konkursa uzvarētāja noskaidrošanas, iznomātājs divu mēnešu laikā pieņem lēmumu slēgt nomas līgumu. Norādām, ka gadījumos, </w:t>
      </w:r>
      <w:proofErr w:type="gramStart"/>
      <w:r>
        <w:rPr>
          <w:color w:val="000000"/>
        </w:rPr>
        <w:t>ja pretendents, kurš piedāvājis augstāko nomas maksu, atsakās slēgt nomas līgumu, vai iznomātājs nolemj līgumu tomēr neslēgt, jo pretendents neatbilst iznomātāja noteiktajiem nosacījumiem pretendentam, iznomātājam ir tiesības secīgi piedāvāt slēgt nomas līgumu tam pretendentam, kurš atbilst iznomātāja noteiktajiem nosacījumiem pretendentam</w:t>
      </w:r>
      <w:proofErr w:type="gramEnd"/>
      <w:r>
        <w:rPr>
          <w:color w:val="000000"/>
        </w:rPr>
        <w:t xml:space="preserve"> un piedāvāja nākamo augstāko nomas maksu, līdz ar to divu mēnešu gaidīšanas termiņš ir uzskatām par nesamērīgi garu attiecībā pret nākamo pretendentu. Līdz ar to lūdzam noteikumu projektu papildināt ar normu, kas nosaka, ka pretendents paraksta nomas līgumu vai rakstiski paziņo par atteikumu slēgt nomas līgumu ar iznomātāju saskaņotā saprātīgā termiņā, kas nav garāks par 15 darbdienām no nomas līguma projekta nosūtīšanas dienas</w:t>
      </w:r>
      <w:r>
        <w:rPr>
          <w:color w:val="FF0000"/>
        </w:rPr>
        <w:t xml:space="preserve"> </w:t>
      </w:r>
      <w:r>
        <w:t xml:space="preserve">(sk. MK noteikumos Nr.350 ietverto regulējumu). Ja iepriekš </w:t>
      </w:r>
      <w:r>
        <w:rPr>
          <w:color w:val="000000"/>
        </w:rPr>
        <w:t xml:space="preserve">minētajā termiņā pretendents nomas līgumu neparaksta un neiesniedz attiecīgu atteikumu, uzskatāms, </w:t>
      </w:r>
      <w:proofErr w:type="gramStart"/>
      <w:r>
        <w:rPr>
          <w:color w:val="000000"/>
        </w:rPr>
        <w:t>ka pretendents no nomas līguma slēgšanas ir atteicies un līgumu var slēgt ar nākamo pretendentu, kurš atbilst iznomātāja noteiktajiem nosacījumiem pretendentam</w:t>
      </w:r>
      <w:proofErr w:type="gramEnd"/>
      <w:r>
        <w:rPr>
          <w:color w:val="000000"/>
        </w:rPr>
        <w:t xml:space="preserve"> un piedāvāja nākamo augstāko nomas maksu. </w:t>
      </w:r>
      <w:proofErr w:type="gramStart"/>
      <w:r>
        <w:rPr>
          <w:color w:val="000000"/>
        </w:rPr>
        <w:t>Attiecīgi,</w:t>
      </w:r>
      <w:proofErr w:type="gramEnd"/>
      <w:r>
        <w:rPr>
          <w:color w:val="000000"/>
        </w:rPr>
        <w:t xml:space="preserve"> lūdzam papildināt noteikumu projektu un atbilstoši arī noteikuma projekta anotāciju.</w:t>
      </w:r>
      <w:r>
        <w:t xml:space="preserve"> </w:t>
      </w:r>
    </w:p>
    <w:p w:rsidR="009E0FC3" w:rsidRDefault="009E0FC3" w:rsidP="009E0FC3">
      <w:pPr>
        <w:pStyle w:val="NormalWeb"/>
        <w:jc w:val="both"/>
        <w:rPr>
          <w:color w:val="000000"/>
        </w:rPr>
      </w:pPr>
    </w:p>
    <w:p w:rsidR="009E0FC3" w:rsidRDefault="009E0FC3" w:rsidP="009E0FC3">
      <w:pPr>
        <w:pStyle w:val="NormalWeb"/>
        <w:jc w:val="both"/>
        <w:rPr>
          <w:color w:val="000000"/>
        </w:rPr>
      </w:pPr>
      <w:r>
        <w:rPr>
          <w:color w:val="000000"/>
        </w:rPr>
        <w:t>4. Vēršam uzmanību, ka, lai tiktu ievēroti valsts atbalsta nosacījumi, neatkarīgam vērtētājam nav obligāti jābūt sertificētam, līdz ar to, lai nesašaurinātu prasības neatkarīgam vērtētājam, aicinām, noteikumu projektu papildināt ar punktu, piemēram, sekojošā redakcijā (līdzīgi kā MK noteikumu Nr.350 3.punktā):</w:t>
      </w:r>
    </w:p>
    <w:p w:rsidR="009E0FC3" w:rsidRDefault="009E0FC3" w:rsidP="009E0FC3">
      <w:pPr>
        <w:pStyle w:val="NormalWeb"/>
        <w:jc w:val="both"/>
        <w:rPr>
          <w:color w:val="000000"/>
          <w:shd w:val="clear" w:color="auto" w:fill="FFFFFF"/>
        </w:rPr>
      </w:pPr>
      <w:r>
        <w:rPr>
          <w:i/>
          <w:iCs/>
          <w:color w:val="000000"/>
          <w:shd w:val="clear" w:color="auto" w:fill="FFFFFF"/>
        </w:rPr>
        <w:t>“Šo noteikumu izpratnē neatkarīgs vērtētājs ir persona ar labu reputāciju, kura ieguvusi augstākās izglītības piektā līmeņa profesionālo kvalifikāciju nekustamā īpašuma vērtēšanas jomā vai radniecīgā jomā, kas ir saistīta ar nekustamo īpašumu, kura ir apguvusi nekustamā īpašuma vērtētāja profesijai nepieciešamās zināšanas akreditētā profesionālās tālākizglītības programmā, kā arī ieguvusi atbilstošu pieredzi un ir kompetenta attiecīgu aktīvu kategorijā un lokalizācijā esošas zemes un būvju novērtēšanā, vai persona, kurai ir derīgs profesionālās kvalifikācijas sertifikāts nekustamā īpašuma novērtēšanai (sertificēts vērtētājs). Novērtēšanas biroji, amatpersonas vai darbinieki tiek uzskatīti par neatkarīgiem, ja netiek pieļauta nepamatota ietekme uz viņu atzinumiem.”</w:t>
      </w:r>
      <w:r>
        <w:rPr>
          <w:color w:val="000000"/>
          <w:shd w:val="clear" w:color="auto" w:fill="FFFFFF"/>
        </w:rPr>
        <w:t xml:space="preserve"> Attiecīgi lūdzam papildināt arī anotācijā minēto skaidrojumu.</w:t>
      </w:r>
      <w:r>
        <w:t xml:space="preserve"> </w:t>
      </w:r>
    </w:p>
    <w:p w:rsidR="009E0FC3" w:rsidRDefault="009E0FC3" w:rsidP="009E0FC3">
      <w:pPr>
        <w:pStyle w:val="NormalWeb"/>
        <w:jc w:val="both"/>
        <w:rPr>
          <w:color w:val="000000"/>
          <w:shd w:val="clear" w:color="auto" w:fill="FFFFFF"/>
        </w:rPr>
      </w:pPr>
    </w:p>
    <w:p w:rsidR="009E0FC3" w:rsidRDefault="009E0FC3" w:rsidP="009E0FC3">
      <w:pPr>
        <w:pStyle w:val="NormalWeb"/>
        <w:jc w:val="both"/>
        <w:rPr>
          <w:color w:val="000000"/>
          <w:shd w:val="clear" w:color="auto" w:fill="FFFFFF"/>
        </w:rPr>
      </w:pPr>
      <w:r>
        <w:rPr>
          <w:color w:val="000000"/>
          <w:shd w:val="clear" w:color="auto" w:fill="FFFFFF"/>
        </w:rPr>
        <w:t xml:space="preserve">5. Atbilstoši </w:t>
      </w:r>
      <w:proofErr w:type="gramStart"/>
      <w:r>
        <w:rPr>
          <w:color w:val="000000"/>
          <w:shd w:val="clear" w:color="auto" w:fill="FFFFFF"/>
        </w:rPr>
        <w:t>2018.gada</w:t>
      </w:r>
      <w:proofErr w:type="gramEnd"/>
      <w:r>
        <w:rPr>
          <w:color w:val="000000"/>
          <w:shd w:val="clear" w:color="auto" w:fill="FFFFFF"/>
        </w:rPr>
        <w:t xml:space="preserve"> 11.aprīļa starpinstitūciju sanāksmē panāktajai vienošanās noteikumu projektā paredzēts noteikt kārtību, kādā iznomā publiskos ūdeņus un jūras </w:t>
      </w:r>
      <w:r>
        <w:rPr>
          <w:color w:val="000000"/>
          <w:shd w:val="clear" w:color="auto" w:fill="FFFFFF"/>
        </w:rPr>
        <w:lastRenderedPageBreak/>
        <w:t>piekrastes sauszemes daļu, ja tas nepieciešams teritorijas kompleksas izmantošanas iecerei. Ņemot vērā, ka noteikumu izdošanas pamatojums ir arī Valsts un pašvaldību īpašuma privatizācijas un privatizācijas sertifikātu izmantošanas pabeigšanas likuma 16.panta piektā daļa, noteikumu projektā ir nosakāma valstij vai pašvaldībai piederoša vai piekrītoša zemesgabala iznomāšanas kārtība un nomas maksas aprēķināšanas kārtība (noteikumu projektā ietvertā jūras piekrastes sauszemes daļa). Ņemot vērā minēto, lūdzam:</w:t>
      </w:r>
    </w:p>
    <w:p w:rsidR="009E0FC3" w:rsidRDefault="009E0FC3" w:rsidP="009E0FC3">
      <w:pPr>
        <w:pStyle w:val="NormalWeb"/>
        <w:jc w:val="both"/>
        <w:rPr>
          <w:color w:val="000000"/>
          <w:shd w:val="clear" w:color="auto" w:fill="FFFFFF"/>
        </w:rPr>
      </w:pPr>
      <w:r>
        <w:rPr>
          <w:color w:val="000000"/>
          <w:shd w:val="clear" w:color="auto" w:fill="FFFFFF"/>
        </w:rPr>
        <w:t xml:space="preserve">5.1. izvērtēt konkursa procedūras iekļaušanu noteikumu projektā un noteikumu projekta anotācijā skaidrot konkursa procedūras nepieciešamību, </w:t>
      </w:r>
    </w:p>
    <w:p w:rsidR="009E0FC3" w:rsidRDefault="009E0FC3" w:rsidP="009E0FC3">
      <w:pPr>
        <w:pStyle w:val="NormalWeb"/>
        <w:jc w:val="both"/>
        <w:rPr>
          <w:color w:val="000000"/>
          <w:shd w:val="clear" w:color="auto" w:fill="FFFFFF"/>
        </w:rPr>
      </w:pPr>
      <w:r>
        <w:rPr>
          <w:color w:val="000000"/>
          <w:shd w:val="clear" w:color="auto" w:fill="FFFFFF"/>
        </w:rPr>
        <w:t>5.2. noteikumu projektā ietvert detalizētu izsoles kārtību līdzīgi kā MK noteikumos Nr.350 un attiecīgi papildināt  noteikumu projekta II, kā arī III nodaļu (t.sk. papildinot publicējamo informāciju, pretendenta pieteikumā norādāmo informāciju, u.c.).</w:t>
      </w:r>
      <w:r>
        <w:t xml:space="preserve"> </w:t>
      </w:r>
    </w:p>
    <w:p w:rsidR="009E0FC3" w:rsidRDefault="009E0FC3" w:rsidP="009E0FC3">
      <w:pPr>
        <w:pStyle w:val="NormalWeb"/>
        <w:jc w:val="both"/>
        <w:rPr>
          <w:color w:val="000000"/>
          <w:shd w:val="clear" w:color="auto" w:fill="FFFFFF"/>
        </w:rPr>
      </w:pPr>
    </w:p>
    <w:p w:rsidR="009E0FC3" w:rsidRDefault="009E0FC3" w:rsidP="009E0FC3">
      <w:pPr>
        <w:pStyle w:val="NormalWeb"/>
        <w:jc w:val="both"/>
        <w:rPr>
          <w:color w:val="000000"/>
          <w:shd w:val="clear" w:color="auto" w:fill="FFFFFF"/>
        </w:rPr>
      </w:pPr>
      <w:r>
        <w:rPr>
          <w:color w:val="000000"/>
          <w:shd w:val="clear" w:color="auto" w:fill="FFFFFF"/>
        </w:rPr>
        <w:t xml:space="preserve">6. Lūdzam papildināt noteikumu projekta anotāciju ar skaidrojumu par noteikumu projekta 6.punktā ietverto regulējumu, proti, ka gadījumā, ja ūdenstilpe atrodas vairāku iznomātāju valdījumā, tie var savstarpēji vienoties par iznomāšanas kārtību. Vēršam uzmanību, </w:t>
      </w:r>
      <w:proofErr w:type="gramStart"/>
      <w:r>
        <w:rPr>
          <w:color w:val="000000"/>
          <w:shd w:val="clear" w:color="auto" w:fill="FFFFFF"/>
        </w:rPr>
        <w:t>ka vairāku iznomātāju gadījumā būtu slēdzami vairāki nomas līgumi</w:t>
      </w:r>
      <w:proofErr w:type="gramEnd"/>
      <w:r>
        <w:rPr>
          <w:color w:val="000000"/>
          <w:shd w:val="clear" w:color="auto" w:fill="FFFFFF"/>
        </w:rPr>
        <w:t xml:space="preserve"> un tajos var būt ietverti atšķirīgi nosacījumi.</w:t>
      </w:r>
      <w:r>
        <w:t xml:space="preserve"> </w:t>
      </w:r>
    </w:p>
    <w:p w:rsidR="009E0FC3" w:rsidRDefault="009E0FC3" w:rsidP="009E0FC3">
      <w:pPr>
        <w:pStyle w:val="NormalWeb"/>
        <w:jc w:val="both"/>
        <w:rPr>
          <w:color w:val="000000"/>
          <w:shd w:val="clear" w:color="auto" w:fill="FFFFFF"/>
        </w:rPr>
      </w:pPr>
    </w:p>
    <w:p w:rsidR="009E0FC3" w:rsidRDefault="009E0FC3" w:rsidP="009E0FC3">
      <w:pPr>
        <w:pStyle w:val="NormalWeb"/>
        <w:jc w:val="both"/>
        <w:rPr>
          <w:color w:val="000000"/>
          <w:shd w:val="clear" w:color="auto" w:fill="FFFFFF"/>
        </w:rPr>
      </w:pPr>
      <w:r>
        <w:rPr>
          <w:color w:val="000000"/>
          <w:shd w:val="clear" w:color="auto" w:fill="FFFFFF"/>
        </w:rPr>
        <w:t>7. Atbilstoši noteikumu projekta 26.punktam iznomātās teritorijas grafisks attēls ir noma līguma neatņemama sastāvdaļa. Savukārt noteikumu projekta 32.punktā noteikts, ka nomas līgumam pievieno nomas objekta grafisku attēlu. Lūdzam izvērtēt, vai minētie punkti nedublējas.</w:t>
      </w:r>
      <w:r>
        <w:t xml:space="preserve"> </w:t>
      </w:r>
    </w:p>
    <w:p w:rsidR="009E0FC3" w:rsidRDefault="009E0FC3" w:rsidP="009E0FC3">
      <w:pPr>
        <w:pStyle w:val="NormalWeb"/>
        <w:jc w:val="both"/>
        <w:rPr>
          <w:color w:val="000000"/>
          <w:shd w:val="clear" w:color="auto" w:fill="FFFFFF"/>
        </w:rPr>
      </w:pPr>
    </w:p>
    <w:p w:rsidR="009E0FC3" w:rsidRDefault="009E0FC3" w:rsidP="009E0FC3">
      <w:pPr>
        <w:jc w:val="both"/>
        <w:rPr>
          <w:lang w:eastAsia="en-US"/>
        </w:rPr>
      </w:pPr>
      <w:r>
        <w:rPr>
          <w:color w:val="000000"/>
        </w:rPr>
        <w:t xml:space="preserve">8. </w:t>
      </w:r>
      <w:r>
        <w:rPr>
          <w:lang w:eastAsia="en-US"/>
        </w:rPr>
        <w:t xml:space="preserve">Lai izslēgtu negodprātīgu praksi un nodrošinātu vienlīdzīgas tiesības visiem potenciālajiem nomniekiem, lūdzam noteikumu projekta 12.punktā ietverto publicējamo informāciju papildināt ar izsoles veidu (mutiska, rakstiska, e-izsole), nomas līguma termiņu, nomas līguma projektu, kā arī ar pieteikuma reģistrēšanas kārtību. </w:t>
      </w:r>
    </w:p>
    <w:p w:rsidR="009E0FC3" w:rsidRDefault="009E0FC3" w:rsidP="009E0FC3">
      <w:pPr>
        <w:jc w:val="both"/>
        <w:rPr>
          <w:lang w:eastAsia="en-US"/>
        </w:rPr>
      </w:pPr>
    </w:p>
    <w:p w:rsidR="009E0FC3" w:rsidRDefault="009E0FC3" w:rsidP="009E0FC3">
      <w:pPr>
        <w:jc w:val="both"/>
        <w:rPr>
          <w:lang w:eastAsia="en-US"/>
        </w:rPr>
      </w:pPr>
      <w:r>
        <w:rPr>
          <w:lang w:eastAsia="en-US"/>
        </w:rPr>
        <w:t>9. Noteikumu projekta 21.punktā imperatīvi noteikts, ka gadījumā, ja iznomātājs nevar vienoties par līguma nosacījumiem ar uzvarētāju, nomas tiesības tiek piedāvātas nākamajam pretendentam, kurš nosolījis augstāko maksu izsoles gadījumā, vai nākamo izdevīgāko piedāvājumu konkursā. Pretēji minētajam regulējumam noteikumu projekta 24.punktā tiek paredzēts, ka gadījumā, ja puses nevar vienoties par nomas līguma nosacījumiem, iznomātājs pieņem lēmumu atkārtoti rīkot nomas tiesību izsoli vai konkursu, vai atteikties no ūdenstilpes vai pludmales iznomāšanas. Lūdzam izvērtēt minēto normu pretrunas un redakcionāli precizēt tajās ietverto regulējumu. Turklāt norādāms, ka nomas līguma nosacījumiem būtu jābūt skaidriem jau</w:t>
      </w:r>
      <w:proofErr w:type="gramStart"/>
      <w:r>
        <w:rPr>
          <w:lang w:eastAsia="en-US"/>
        </w:rPr>
        <w:t xml:space="preserve"> publicējot informāciju par izsoli vai konkursu</w:t>
      </w:r>
      <w:proofErr w:type="gramEnd"/>
      <w:r>
        <w:rPr>
          <w:lang w:eastAsia="en-US"/>
        </w:rPr>
        <w:t>.</w:t>
      </w:r>
      <w:r>
        <w:t xml:space="preserve"> </w:t>
      </w:r>
    </w:p>
    <w:p w:rsidR="009E0FC3" w:rsidRDefault="009E0FC3" w:rsidP="009E0FC3">
      <w:pPr>
        <w:jc w:val="both"/>
        <w:rPr>
          <w:lang w:eastAsia="en-US"/>
        </w:rPr>
      </w:pPr>
    </w:p>
    <w:p w:rsidR="009E0FC3" w:rsidRDefault="009E0FC3" w:rsidP="009E0FC3">
      <w:pPr>
        <w:jc w:val="both"/>
        <w:rPr>
          <w:lang w:eastAsia="en-US"/>
        </w:rPr>
      </w:pPr>
      <w:r>
        <w:rPr>
          <w:lang w:eastAsia="en-US"/>
        </w:rPr>
        <w:t>10. Lūdzam precizēt noteikumu projekta 22.punktu, skaidrojot tajā ietverto jēdzienu “nelabticīgs nomnieks”. Gadījumā, ja tiek paredzēts, ka nelabticīgā nomnieka kritērijus noteiks un apstiprinās katrs iznomātājs, lūdzam attiecīgi precizēt noteikumu projektu.</w:t>
      </w:r>
      <w:r>
        <w:t xml:space="preserve"> </w:t>
      </w:r>
    </w:p>
    <w:p w:rsidR="009E0FC3" w:rsidRDefault="009E0FC3" w:rsidP="009E0FC3">
      <w:pPr>
        <w:jc w:val="both"/>
        <w:rPr>
          <w:lang w:eastAsia="en-US"/>
        </w:rPr>
      </w:pPr>
    </w:p>
    <w:p w:rsidR="009E0FC3" w:rsidRDefault="009E0FC3" w:rsidP="009E0FC3">
      <w:pPr>
        <w:jc w:val="both"/>
      </w:pPr>
      <w:r>
        <w:rPr>
          <w:lang w:eastAsia="en-US"/>
        </w:rPr>
        <w:t xml:space="preserve">11. </w:t>
      </w:r>
      <w:r>
        <w:rPr>
          <w:color w:val="000000"/>
          <w:shd w:val="clear" w:color="auto" w:fill="FFFFFF"/>
        </w:rPr>
        <w:t xml:space="preserve">Atbilstoši noteikumu projekta 1.punktam šie noteikumi nosaka kārtību, kādā tiek iznomāti publiskie ūdeņi. Noteikumu projekta 3.punktā noteikts, ka šie noteikumi nav piemērojami gadījumos, ja publisko ūdeņu iznomāšanu konkrētiem mērķiem regulē normatīvie akti zemes dzīļu ieguves un zvejniecības jomā vai ja izmantošanai nav nepieciešams ūdenstilpi vai pludmali iznomāt. Ņemot vērā minēto, nav pamatota </w:t>
      </w:r>
      <w:r>
        <w:rPr>
          <w:color w:val="000000"/>
          <w:shd w:val="clear" w:color="auto" w:fill="FFFFFF"/>
        </w:rPr>
        <w:lastRenderedPageBreak/>
        <w:t>noteikumu projekta 42., 43.un  44.punkta iekļaušana noteikumu projektā (minētie punkti regulē ūdenstilpes un pludmales izmantošanu, neslēdzot nomas līgumu, kā arī pašvaldības atļaujas izsniegšanu ūdenstilpes un pludmales izmantošanai, kā arī maksas iekasēšanu).</w:t>
      </w:r>
      <w:r>
        <w:t xml:space="preserve"> </w:t>
      </w:r>
    </w:p>
    <w:p w:rsidR="009E0FC3" w:rsidRDefault="009E0FC3" w:rsidP="009E0FC3"/>
    <w:p w:rsidR="009E0FC3" w:rsidRDefault="009E0FC3" w:rsidP="009E0FC3">
      <w:pPr>
        <w:jc w:val="both"/>
        <w:rPr>
          <w:lang w:eastAsia="en-US"/>
        </w:rPr>
      </w:pPr>
      <w:r>
        <w:rPr>
          <w:lang w:eastAsia="en-US"/>
        </w:rPr>
        <w:t>12. Lūdzam skaidrot 10.punktā  ietverto regulējumu – vai iznomājot pašvaldībai valstij piederošos publiskos ūdeņus (un otrādi), tie nododami bezatlīdzības lietošanā.</w:t>
      </w:r>
      <w:r>
        <w:t xml:space="preserve"> </w:t>
      </w:r>
    </w:p>
    <w:p w:rsidR="009E0FC3" w:rsidRDefault="009E0FC3" w:rsidP="009E0FC3">
      <w:pPr>
        <w:pStyle w:val="NormalWeb"/>
        <w:jc w:val="both"/>
        <w:rPr>
          <w:color w:val="000000"/>
        </w:rPr>
      </w:pPr>
    </w:p>
    <w:p w:rsidR="009E0FC3" w:rsidRDefault="009E0FC3" w:rsidP="009E0FC3">
      <w:pPr>
        <w:jc w:val="both"/>
        <w:rPr>
          <w:rFonts w:ascii="Calibri" w:hAnsi="Calibri"/>
          <w:color w:val="1F497D"/>
          <w:sz w:val="22"/>
          <w:szCs w:val="22"/>
          <w:lang w:eastAsia="en-US"/>
        </w:rPr>
      </w:pPr>
    </w:p>
    <w:p w:rsidR="009E0FC3" w:rsidRDefault="009E0FC3" w:rsidP="009E0FC3">
      <w:pPr>
        <w:jc w:val="both"/>
        <w:rPr>
          <w:b/>
          <w:bCs/>
          <w:u w:val="single"/>
          <w:lang w:eastAsia="en-US"/>
        </w:rPr>
      </w:pPr>
      <w:r>
        <w:rPr>
          <w:b/>
          <w:bCs/>
          <w:u w:val="single"/>
          <w:lang w:eastAsia="en-US"/>
        </w:rPr>
        <w:t>Priekšlikumi:</w:t>
      </w:r>
    </w:p>
    <w:p w:rsidR="009E0FC3" w:rsidRDefault="009E0FC3" w:rsidP="009E0FC3">
      <w:pPr>
        <w:jc w:val="both"/>
        <w:rPr>
          <w:lang w:eastAsia="en-US"/>
        </w:rPr>
      </w:pPr>
      <w:r>
        <w:rPr>
          <w:lang w:eastAsia="en-US"/>
        </w:rPr>
        <w:t>1. Ņemot vērā līdzšinējo praksi, lūdzam noteikumu projekta nosaukumu izteikt šādā vai līdzīgā redakcijā: "Publisko ūdeņu iznomāšanas noteikumi".</w:t>
      </w:r>
      <w:r>
        <w:t xml:space="preserve"> </w:t>
      </w:r>
    </w:p>
    <w:p w:rsidR="009E0FC3" w:rsidRDefault="009E0FC3" w:rsidP="009E0FC3">
      <w:pPr>
        <w:jc w:val="both"/>
        <w:rPr>
          <w:lang w:eastAsia="en-US"/>
        </w:rPr>
      </w:pPr>
    </w:p>
    <w:p w:rsidR="009E0FC3" w:rsidRDefault="009E0FC3" w:rsidP="009E0FC3">
      <w:pPr>
        <w:jc w:val="both"/>
        <w:rPr>
          <w:lang w:eastAsia="en-US"/>
        </w:rPr>
      </w:pPr>
      <w:r>
        <w:rPr>
          <w:lang w:eastAsia="en-US"/>
        </w:rPr>
        <w:t>2. Lūdzam redakcionāli precizēt noteikumu projekta 2.punkta otrā teikuma redakciju, nosakot, ka šie noteikumi neattiecas uz privātpersonām piederošu publisko ūdeņu iznomāšanu. Vienlaikus  lūdzam skaidrot, vai šis izņēmums būtu attiecināms arī uz privātpersonu tiesiskajā valdījumā esošu publisko ūdeņu iznomāšanu.</w:t>
      </w:r>
      <w:r>
        <w:t xml:space="preserve"> </w:t>
      </w:r>
    </w:p>
    <w:p w:rsidR="009E0FC3" w:rsidRDefault="009E0FC3" w:rsidP="009E0FC3">
      <w:pPr>
        <w:jc w:val="both"/>
        <w:rPr>
          <w:lang w:eastAsia="en-US"/>
        </w:rPr>
      </w:pPr>
    </w:p>
    <w:p w:rsidR="009E0FC3" w:rsidRDefault="009E0FC3" w:rsidP="009E0FC3">
      <w:pPr>
        <w:jc w:val="both"/>
        <w:rPr>
          <w:lang w:eastAsia="en-US"/>
        </w:rPr>
      </w:pPr>
      <w:r>
        <w:rPr>
          <w:lang w:eastAsia="en-US"/>
        </w:rPr>
        <w:t>3. Saskaņā ar Noteikumu projekta 14.punktu pretendentam jāiesniedz iznomātājam savu personas datu apliecinājums. Lūdzam skaidrot, vai minētais pienākums attiecas uz juridiskām un fiziskām personām un kādi dokumenti iesniedzami.</w:t>
      </w:r>
    </w:p>
    <w:p w:rsidR="009E0FC3" w:rsidRDefault="009E0FC3" w:rsidP="009E0FC3">
      <w:pPr>
        <w:jc w:val="both"/>
        <w:rPr>
          <w:lang w:eastAsia="en-US"/>
        </w:rPr>
      </w:pPr>
    </w:p>
    <w:p w:rsidR="009E0FC3" w:rsidRDefault="009E0FC3" w:rsidP="009E0FC3">
      <w:pPr>
        <w:jc w:val="both"/>
        <w:rPr>
          <w:lang w:eastAsia="en-US"/>
        </w:rPr>
      </w:pPr>
      <w:r>
        <w:rPr>
          <w:lang w:eastAsia="en-US"/>
        </w:rPr>
        <w:t>4. Lūdzam izvērtēt noteikumu projekta 40.punkta atbilstību Ministru kabinetam dotajam deleģējumam, jo minētais punkts attiecas uz gadījumiem, ja ar likumu ir mainījies ūdenstilpes vai pludmales valdītājs.</w:t>
      </w:r>
      <w:r>
        <w:t xml:space="preserve"> </w:t>
      </w:r>
    </w:p>
    <w:p w:rsidR="009E0FC3" w:rsidRDefault="009E0FC3" w:rsidP="009E0FC3">
      <w:pPr>
        <w:rPr>
          <w:rFonts w:ascii="Calibri" w:hAnsi="Calibri"/>
          <w:color w:val="1F497D"/>
          <w:sz w:val="22"/>
          <w:szCs w:val="22"/>
          <w:lang w:eastAsia="en-US"/>
        </w:rPr>
      </w:pPr>
    </w:p>
    <w:p w:rsidR="009E0FC3" w:rsidRDefault="009E0FC3" w:rsidP="009E0FC3"/>
    <w:p w:rsidR="009E0FC3" w:rsidRDefault="009E0FC3" w:rsidP="009E0FC3">
      <w:pPr>
        <w:rPr>
          <w:rFonts w:ascii="Franklin Gothic Medium" w:hAnsi="Franklin Gothic Medium"/>
          <w:color w:val="1F497D"/>
          <w:sz w:val="20"/>
          <w:szCs w:val="20"/>
        </w:rPr>
      </w:pPr>
      <w:r>
        <w:rPr>
          <w:rFonts w:ascii="Franklin Gothic Medium" w:hAnsi="Franklin Gothic Medium"/>
          <w:color w:val="1F497D"/>
          <w:sz w:val="20"/>
          <w:szCs w:val="20"/>
        </w:rPr>
        <w:t>Ar cieņu</w:t>
      </w:r>
    </w:p>
    <w:p w:rsidR="009E0FC3" w:rsidRDefault="009E0FC3" w:rsidP="009E0FC3">
      <w:pPr>
        <w:rPr>
          <w:rFonts w:ascii="Franklin Gothic Medium" w:hAnsi="Franklin Gothic Medium"/>
          <w:b/>
          <w:bCs/>
          <w:color w:val="1F497D"/>
          <w:sz w:val="20"/>
          <w:szCs w:val="20"/>
        </w:rPr>
      </w:pPr>
    </w:p>
    <w:p w:rsidR="009E0FC3" w:rsidRDefault="009E0FC3" w:rsidP="009E0FC3">
      <w:pPr>
        <w:rPr>
          <w:rFonts w:ascii="Franklin Gothic Medium" w:hAnsi="Franklin Gothic Medium"/>
          <w:b/>
          <w:bCs/>
          <w:color w:val="1F497D"/>
          <w:sz w:val="20"/>
          <w:szCs w:val="20"/>
        </w:rPr>
      </w:pPr>
      <w:r>
        <w:rPr>
          <w:rFonts w:ascii="Franklin Gothic Medium" w:hAnsi="Franklin Gothic Medium"/>
          <w:b/>
          <w:bCs/>
          <w:color w:val="1F497D"/>
          <w:sz w:val="20"/>
          <w:szCs w:val="20"/>
        </w:rPr>
        <w:t xml:space="preserve">Ilga </w:t>
      </w:r>
      <w:proofErr w:type="spellStart"/>
      <w:r>
        <w:rPr>
          <w:rFonts w:ascii="Franklin Gothic Medium" w:hAnsi="Franklin Gothic Medium"/>
          <w:b/>
          <w:bCs/>
          <w:color w:val="1F497D"/>
          <w:sz w:val="20"/>
          <w:szCs w:val="20"/>
        </w:rPr>
        <w:t>Jermacāne</w:t>
      </w:r>
      <w:proofErr w:type="spellEnd"/>
    </w:p>
    <w:p w:rsidR="009E0FC3" w:rsidRDefault="009E0FC3" w:rsidP="009E0FC3">
      <w:pPr>
        <w:rPr>
          <w:rFonts w:ascii="Franklin Gothic Book" w:hAnsi="Franklin Gothic Book"/>
          <w:color w:val="7F7F7F"/>
          <w:sz w:val="16"/>
          <w:szCs w:val="16"/>
        </w:rPr>
      </w:pPr>
      <w:r>
        <w:rPr>
          <w:rFonts w:ascii="Franklin Gothic Book" w:hAnsi="Franklin Gothic Book"/>
          <w:color w:val="7F7F7F"/>
          <w:sz w:val="16"/>
          <w:szCs w:val="16"/>
        </w:rPr>
        <w:t xml:space="preserve">Juridiskā departamenta </w:t>
      </w:r>
    </w:p>
    <w:p w:rsidR="009E0FC3" w:rsidRDefault="009E0FC3" w:rsidP="009E0FC3">
      <w:pPr>
        <w:rPr>
          <w:rFonts w:ascii="Franklin Gothic Book" w:hAnsi="Franklin Gothic Book"/>
          <w:color w:val="7F7F7F"/>
          <w:sz w:val="16"/>
          <w:szCs w:val="16"/>
        </w:rPr>
      </w:pPr>
      <w:r>
        <w:rPr>
          <w:rFonts w:ascii="Franklin Gothic Book" w:hAnsi="Franklin Gothic Book"/>
          <w:color w:val="7F7F7F"/>
          <w:sz w:val="16"/>
          <w:szCs w:val="16"/>
        </w:rPr>
        <w:t>Tiesību aktu nodaļas juriskonsulte</w:t>
      </w:r>
      <w:r>
        <w:rPr>
          <w:rFonts w:ascii="Franklin Gothic Book" w:hAnsi="Franklin Gothic Book"/>
          <w:color w:val="0563C1"/>
          <w:sz w:val="16"/>
          <w:szCs w:val="16"/>
          <w:u w:val="single"/>
        </w:rPr>
        <w:br/>
      </w:r>
      <w:r>
        <w:rPr>
          <w:rFonts w:ascii="Franklin Gothic Book" w:hAnsi="Franklin Gothic Book"/>
          <w:color w:val="7F7F7F"/>
          <w:sz w:val="16"/>
          <w:szCs w:val="16"/>
        </w:rPr>
        <w:t>Tālr. (+371)  67083802</w:t>
      </w:r>
    </w:p>
    <w:p w:rsidR="009E0FC3" w:rsidRDefault="009E0FC3" w:rsidP="009E0FC3">
      <w:pPr>
        <w:rPr>
          <w:rFonts w:ascii="Franklin Gothic Book" w:hAnsi="Franklin Gothic Book"/>
          <w:color w:val="7F7F7F"/>
          <w:sz w:val="16"/>
          <w:szCs w:val="16"/>
        </w:rPr>
      </w:pPr>
      <w:r>
        <w:rPr>
          <w:rFonts w:ascii="Franklin Gothic Book" w:hAnsi="Franklin Gothic Book"/>
          <w:color w:val="7F7F7F"/>
          <w:sz w:val="16"/>
          <w:szCs w:val="16"/>
        </w:rPr>
        <w:t>E-pasts:</w:t>
      </w:r>
      <w:r>
        <w:rPr>
          <w:rFonts w:ascii="Franklin Gothic Book" w:hAnsi="Franklin Gothic Book"/>
          <w:color w:val="1F3864"/>
          <w:sz w:val="16"/>
          <w:szCs w:val="16"/>
        </w:rPr>
        <w:t xml:space="preserve"> </w:t>
      </w:r>
      <w:hyperlink r:id="rId4" w:history="1">
        <w:r>
          <w:rPr>
            <w:rStyle w:val="Hyperlink"/>
            <w:rFonts w:ascii="Franklin Gothic Book" w:hAnsi="Franklin Gothic Book"/>
            <w:sz w:val="16"/>
            <w:szCs w:val="16"/>
          </w:rPr>
          <w:t>Ilga.Jermacane@fm.gov.lv</w:t>
        </w:r>
      </w:hyperlink>
      <w:r>
        <w:rPr>
          <w:rFonts w:ascii="Franklin Gothic Book" w:hAnsi="Franklin Gothic Book"/>
          <w:color w:val="1F497D"/>
          <w:sz w:val="16"/>
          <w:szCs w:val="16"/>
          <w:u w:val="single"/>
        </w:rPr>
        <w:t xml:space="preserve"> </w:t>
      </w:r>
    </w:p>
    <w:p w:rsidR="009E0FC3" w:rsidRDefault="009E0FC3" w:rsidP="009E0FC3">
      <w:pPr>
        <w:rPr>
          <w:rFonts w:ascii="Franklin Gothic Book" w:hAnsi="Franklin Gothic Book"/>
          <w:color w:val="7F7F7F"/>
          <w:sz w:val="16"/>
          <w:szCs w:val="16"/>
        </w:rPr>
      </w:pPr>
    </w:p>
    <w:p w:rsidR="009E0FC3" w:rsidRDefault="009E0FC3" w:rsidP="009E0FC3">
      <w:pPr>
        <w:rPr>
          <w:rFonts w:ascii="Franklin Gothic Book" w:hAnsi="Franklin Gothic Book"/>
          <w:color w:val="7F7F7F"/>
          <w:sz w:val="16"/>
          <w:szCs w:val="16"/>
        </w:rPr>
      </w:pPr>
      <w:r>
        <w:rPr>
          <w:rFonts w:ascii="Franklin Gothic Book" w:hAnsi="Franklin Gothic Book"/>
          <w:color w:val="7F7F7F"/>
          <w:sz w:val="16"/>
          <w:szCs w:val="16"/>
        </w:rPr>
        <w:t>Latvijas Republikas Finanšu ministrija</w:t>
      </w:r>
    </w:p>
    <w:p w:rsidR="009E0FC3" w:rsidRDefault="009E0FC3" w:rsidP="009E0FC3">
      <w:pPr>
        <w:rPr>
          <w:rFonts w:ascii="Franklin Gothic Book" w:hAnsi="Franklin Gothic Book"/>
          <w:color w:val="7F7F7F"/>
          <w:sz w:val="16"/>
          <w:szCs w:val="16"/>
        </w:rPr>
      </w:pPr>
      <w:r>
        <w:rPr>
          <w:rFonts w:ascii="Franklin Gothic Book" w:hAnsi="Franklin Gothic Book"/>
          <w:color w:val="7F7F7F"/>
          <w:sz w:val="16"/>
          <w:szCs w:val="16"/>
        </w:rPr>
        <w:t>Smilšu iela 1, Rīga, LV-1919, Latvija</w:t>
      </w:r>
    </w:p>
    <w:p w:rsidR="009E0FC3" w:rsidRDefault="009E0FC3" w:rsidP="009E0FC3">
      <w:pPr>
        <w:rPr>
          <w:rFonts w:ascii="Calibri" w:hAnsi="Calibri"/>
          <w:color w:val="1F497D"/>
          <w:sz w:val="16"/>
          <w:szCs w:val="16"/>
          <w:lang w:eastAsia="en-US"/>
        </w:rPr>
      </w:pPr>
      <w:r>
        <w:rPr>
          <w:rFonts w:ascii="Franklin Gothic Book" w:hAnsi="Franklin Gothic Book"/>
          <w:color w:val="7F7F7F"/>
          <w:sz w:val="16"/>
          <w:szCs w:val="16"/>
        </w:rPr>
        <w:t xml:space="preserve">Mājaslapa: </w:t>
      </w:r>
      <w:hyperlink r:id="rId5" w:history="1">
        <w:r>
          <w:rPr>
            <w:rStyle w:val="Hyperlink"/>
            <w:rFonts w:ascii="Franklin Gothic Book" w:hAnsi="Franklin Gothic Book"/>
            <w:color w:val="1F497D"/>
            <w:sz w:val="16"/>
            <w:szCs w:val="16"/>
          </w:rPr>
          <w:t>www.fm.gov.lv</w:t>
        </w:r>
      </w:hyperlink>
    </w:p>
    <w:p w:rsidR="009E0FC3" w:rsidRDefault="009E0FC3" w:rsidP="009E0FC3">
      <w:pPr>
        <w:rPr>
          <w:rFonts w:ascii="Franklin Gothic Book" w:hAnsi="Franklin Gothic Book"/>
          <w:color w:val="7F7F7F"/>
          <w:sz w:val="16"/>
          <w:szCs w:val="16"/>
        </w:rPr>
      </w:pPr>
      <w:r>
        <w:rPr>
          <w:rFonts w:ascii="Franklin Gothic Book" w:hAnsi="Franklin Gothic Book"/>
          <w:color w:val="7F7F7F"/>
          <w:sz w:val="16"/>
          <w:szCs w:val="16"/>
        </w:rPr>
        <w:t>E-pasts:</w:t>
      </w:r>
      <w:r>
        <w:rPr>
          <w:rFonts w:ascii="Calibri" w:hAnsi="Calibri"/>
          <w:color w:val="1F497D"/>
          <w:sz w:val="16"/>
          <w:szCs w:val="16"/>
        </w:rPr>
        <w:t xml:space="preserve"> </w:t>
      </w:r>
      <w:hyperlink r:id="rId6" w:history="1">
        <w:r>
          <w:rPr>
            <w:rStyle w:val="Hyperlink"/>
            <w:rFonts w:ascii="Franklin Gothic Book" w:hAnsi="Franklin Gothic Book"/>
            <w:color w:val="1F497D"/>
            <w:sz w:val="16"/>
            <w:szCs w:val="16"/>
          </w:rPr>
          <w:t>pasts@fm.gov.lv</w:t>
        </w:r>
      </w:hyperlink>
      <w:r>
        <w:rPr>
          <w:rFonts w:ascii="Calibri" w:hAnsi="Calibri"/>
          <w:color w:val="1F497D"/>
          <w:sz w:val="16"/>
          <w:szCs w:val="16"/>
        </w:rPr>
        <w:t xml:space="preserve"> </w:t>
      </w:r>
      <w:r>
        <w:rPr>
          <w:rFonts w:ascii="Franklin Gothic Book" w:hAnsi="Franklin Gothic Book"/>
          <w:color w:val="7F7F7F"/>
          <w:sz w:val="16"/>
          <w:szCs w:val="16"/>
        </w:rPr>
        <w:t> </w:t>
      </w:r>
      <w:r>
        <w:rPr>
          <w:rFonts w:ascii="Franklin Gothic Book" w:hAnsi="Franklin Gothic Book"/>
          <w:color w:val="0D3051"/>
          <w:sz w:val="16"/>
          <w:szCs w:val="16"/>
        </w:rPr>
        <w:t>  </w:t>
      </w:r>
      <w:r>
        <w:rPr>
          <w:rFonts w:ascii="Franklin Gothic Book" w:hAnsi="Franklin Gothic Book"/>
          <w:color w:val="1F497D"/>
          <w:sz w:val="16"/>
          <w:szCs w:val="16"/>
        </w:rPr>
        <w:t xml:space="preserve">  </w:t>
      </w:r>
    </w:p>
    <w:p w:rsidR="009E0FC3" w:rsidRDefault="009E0FC3" w:rsidP="009E0FC3">
      <w:r>
        <w:rPr>
          <w:rFonts w:ascii="Calibri" w:hAnsi="Calibri"/>
          <w:noProof/>
          <w:sz w:val="22"/>
          <w:szCs w:val="22"/>
        </w:rPr>
        <w:drawing>
          <wp:inline distT="0" distB="0" distL="0" distR="0">
            <wp:extent cx="715645" cy="723265"/>
            <wp:effectExtent l="0" t="0" r="8255" b="635"/>
            <wp:docPr id="2" name="Picture 2" descr="cid:image008.jpg@01D35ECC.1E76872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8.jpg@01D35ECC.1E76872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15645" cy="723265"/>
                    </a:xfrm>
                    <a:prstGeom prst="rect">
                      <a:avLst/>
                    </a:prstGeom>
                    <a:noFill/>
                    <a:ln>
                      <a:noFill/>
                    </a:ln>
                  </pic:spPr>
                </pic:pic>
              </a:graphicData>
            </a:graphic>
          </wp:inline>
        </w:drawing>
      </w:r>
      <w:r>
        <w:rPr>
          <w:rFonts w:ascii="Calibri" w:hAnsi="Calibri"/>
          <w:color w:val="1F497D"/>
          <w:sz w:val="22"/>
          <w:szCs w:val="22"/>
        </w:rPr>
        <w:t xml:space="preserve">  </w:t>
      </w:r>
      <w:r>
        <w:rPr>
          <w:rFonts w:ascii="Calibri" w:hAnsi="Calibri"/>
          <w:noProof/>
          <w:color w:val="1F497D"/>
          <w:sz w:val="22"/>
          <w:szCs w:val="22"/>
        </w:rPr>
        <w:drawing>
          <wp:inline distT="0" distB="0" distL="0" distR="0">
            <wp:extent cx="874395" cy="580390"/>
            <wp:effectExtent l="0" t="0" r="1905" b="0"/>
            <wp:docPr id="1" name="Picture 1" descr="cid:image009.png@01D35ECC.1E76872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9.png@01D35ECC.1E76872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874395" cy="580390"/>
                    </a:xfrm>
                    <a:prstGeom prst="rect">
                      <a:avLst/>
                    </a:prstGeom>
                    <a:noFill/>
                    <a:ln>
                      <a:noFill/>
                    </a:ln>
                  </pic:spPr>
                </pic:pic>
              </a:graphicData>
            </a:graphic>
          </wp:inline>
        </w:drawing>
      </w:r>
      <w:bookmarkEnd w:id="0"/>
    </w:p>
    <w:p w:rsidR="00B13F2C" w:rsidRDefault="00B13F2C"/>
    <w:sectPr w:rsidR="00B13F2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Franklin Gothic Medium">
    <w:panose1 w:val="020B0603020102020204"/>
    <w:charset w:val="BA"/>
    <w:family w:val="swiss"/>
    <w:pitch w:val="variable"/>
    <w:sig w:usb0="00000287" w:usb1="00000000" w:usb2="00000000" w:usb3="00000000" w:csb0="0000009F" w:csb1="00000000"/>
  </w:font>
  <w:font w:name="Franklin Gothic Book">
    <w:panose1 w:val="020B05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FC3"/>
    <w:rsid w:val="001F53C0"/>
    <w:rsid w:val="009E0FC3"/>
    <w:rsid w:val="00B13F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D26E17-C611-4BF2-ADB2-3F01ACC28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FC3"/>
    <w:pPr>
      <w:spacing w:after="0" w:line="240" w:lineRule="auto"/>
    </w:pPr>
    <w:rPr>
      <w:rFonts w:ascii="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0FC3"/>
    <w:rPr>
      <w:color w:val="0563C1"/>
      <w:u w:val="single"/>
    </w:rPr>
  </w:style>
  <w:style w:type="paragraph" w:styleId="NormalWeb">
    <w:name w:val="Normal (Web)"/>
    <w:basedOn w:val="Normal"/>
    <w:uiPriority w:val="99"/>
    <w:semiHidden/>
    <w:unhideWhenUsed/>
    <w:rsid w:val="009E0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95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40ED5.DC36353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fm.gov.lv" TargetMode="External"/><Relationship Id="rId11" Type="http://schemas.openxmlformats.org/officeDocument/2006/relationships/image" Target="cid:image002.png@01D40ED5.DC363530" TargetMode="External"/><Relationship Id="rId5" Type="http://schemas.openxmlformats.org/officeDocument/2006/relationships/hyperlink" Target="http://www.fm.gov.lv/" TargetMode="External"/><Relationship Id="rId10" Type="http://schemas.openxmlformats.org/officeDocument/2006/relationships/image" Target="media/image2.png"/><Relationship Id="rId4" Type="http://schemas.openxmlformats.org/officeDocument/2006/relationships/hyperlink" Target="mailto:Ilga.Jermacane@fm.gov.lv" TargetMode="External"/><Relationship Id="rId9" Type="http://schemas.openxmlformats.org/officeDocument/2006/relationships/hyperlink" Target="http://lv100.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7619</Words>
  <Characters>4344</Characters>
  <Application>Microsoft Office Word</Application>
  <DocSecurity>0</DocSecurity>
  <Lines>36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Tapiņa</dc:creator>
  <cp:keywords/>
  <dc:description/>
  <cp:lastModifiedBy>Inga Tapiņa</cp:lastModifiedBy>
  <cp:revision>2</cp:revision>
  <dcterms:created xsi:type="dcterms:W3CDTF">2019-01-15T11:55:00Z</dcterms:created>
  <dcterms:modified xsi:type="dcterms:W3CDTF">2019-01-15T12:19:00Z</dcterms:modified>
</cp:coreProperties>
</file>