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Reģionālās attīstības fonda projekta (turpmāk – projekts) iesniedzējiem un projekta sadarbības partneriem (ja tos pieaicina);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paredz arī regulējumu, kas attiecas uz finansējuma saņēmēju, lūdzam papildināt noteikumu projekta 1.4.apakšpunktu ar vārdiem "finansējuma saņēmējam" aiz vārda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Nodrošinot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noteikto, plānošanas reģiona pārstāvis piedalās projektu iesniegumu vērtēšanas komisijā.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1.3.punkta "Pašreizējā situācija" pēdējo rindkopu, norādot plānošanas reģiona pārstāvja lomu vērtēšanas komisijā, t.i., pārstāvis būs ar balss tiesībām vai novērotāja statusā.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 (Gundega Morgana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minimālais attiecināmo izmaksu apmērs nav mazāks par 200 000</w:t>
            </w:r>
            <w:r w:rsidR="00000000" w:rsidRPr="00000000" w:rsidDel="00000000">
              <w:rPr>
                <w:i w:val="1"/>
                <w:rtl w:val="0"/>
              </w:rPr>
              <w:t xml:space="preserve"> euro</w:t>
            </w:r>
            <w:r w:rsidR="00000000" w:rsidRPr="00000000" w:rsidDel="00000000">
              <w:rPr>
                <w:rtl w:val="0"/>
              </w:rPr>
              <w:t xml:space="preserve">, un projekta iesnieguma maksimālais ERAF finansējums ir 800 000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53. panta 2. punktam, darbības vai projekti, kas ir daļa no darbības, kuri saņem atbalstu no KF, ERAF vai ESF+ un kuru kopējās izmaksas nepārsniedz EUR 200 000 (ieskaitot) visas izmaksas tiek segtas ar vienu vienību, fiksētās summas maksājumu vai vienoto likmju veidā, izņemot darbības, kurām atbalsts kvalificējams kā komercdarbības (izņemot de minimis) atbalsts. Līdz ar to rosinām MK noteikumu projektā veikt redakcionālus precizējumus, piemēram, norādot, "nav mazāks par 200 000 euro ieskaitot". Lūdzam veikt redakcionālus precizējumus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projekta informācijas un publicitātes pasākumu izmaksas atbilstoši normatīvajiem aktiem par kārtību, kādā Eiropas Savienības fondu ieviešanā 2021.-2027.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25.6.apakšpunktu, izsakot to šādā redakcijā: "projekta informācijas un publicitātes pasākumu izmaksas atbilstoši  Eiropas Parlamenta un Padomes 2021. gada 24. jūnija Regulas (ES) Nr. 2021/1060,ar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pantu un 50. pantu un kārtībai, kādā Eiropas Savienības fondu vadībā iesaistītās institūcijas nodrošina šo fondu ieviešanu 2021.–2027.gada plānošanas periodā". Papildus lūdzam ietvert anotācijā skaidrojumu, ka tiks nodrošinātas arī Eiropas Savienības fondu 2021.–2027. gada plānošanas perioda un Atveseļošanas fonda komunikācijas un dizaina vadlīnijās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projekta informācijas un publicitātes pasākumu izmaksas atbilstoši  Eiropas Parlamenta un Padomes 2021. gada 24. jūnija Regulas (ES) Nr. 2021/1060,ar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pantu un 50. pantu un kārtībai, kādā Eiropas Savienības fondu vadībā iesaistītās institūcijas nodrošina šo fondu ieviešanu 2021.–2027.gada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 (Gundega Morgana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uzkrāj datus par projekta ietekmi uz horizontālo principu rādītājiem (ja attiecināms) un ievēro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37.2. un 37.4.apakšpunktu, tos izsakot šādā redakcijā, t.sk. precizējot anotāciju,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uzkrāj datus par projekta ietekmi uz horizontālo principu rādītājiem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37.2.1.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37.2.1.1. objektu skaits, kuros ar ERAF ieguldījumiem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37.2.1.2. konsultatīva rakstura pasākumu par būvētās vides, informācijas un komunikācijas tehnoloģijas risinājumu, informācijas un komunikācijas tehnoloģiju piekļūstamību personām ar dažādiem funkcionāliem traucējumiem (piemēram, vides piekļūstamības ekspertu konsultācijas būvprojekta izstrādes un pabeigšanas posmā)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uzkrāj datus par projekta ietekmi uz horizontālo principu īstenošanu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37.3.1.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37.3.2.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37.3.3.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sniedz sadarbības iestādei informāciju par šo noteikumu 37.2. apakšpunktā minēto horizontālo principu īstenošanu vienlaikus ar informāciju par šo noteikumu 11. punktā minētā iznākuma rādītāja vērtības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uzkrāj datus par projekta ietekmi uz horizontālo principu rādītājiem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37.2.1.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37.2.1.1. objektu skaits, kuros ar ERAF ieguldījumiem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37.2.1.2. konsultatīva rakstura pasākumu par būvētās vides, informācijas un komunikācijas tehnoloģijas risinājumu, informācijas un komunikācijas tehnoloģiju piekļūstamību personām ar dažādiem funkcionāliem traucējumiem (piemēram, vides piekļūstamības ekspertu konsultācijas būvprojekta izstrādes un pabeigšanas posmā)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uzkrāj datus par projekta ietekmi uz horizontālo principu īstenošanu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37.3.1.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37.3.2.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37.3.3.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sniedz sadarbības iestādei informāciju par šo noteikumu 37.2. apakšpunktā minēto horizontālo principu īstenošanu vienlaikus ar informāciju par šo noteikumu 11. punktā minētā iznākuma rādītāja vērtības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būvdarbu iepirkums vai noslēgts būvdarbu līgums), var piešķirt finansējuma saņēmējam avansu līdz 50 procentiem no projektam piešķirtā ERAF finansējuma pēc civiltiesiskā līguma vai vienošanās par projekta īstenošanu noslēgšanas, ievērojot, ka avansa un starpposma maksājumu kopsumma nepārsniedz 90 procentus no projektam piešķirtā ERAF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43.punktu, nosakot, ka finansējuma saņēmējs avansa pieprasījumu sagatavo un sadarbības iestāde avansa pieprasījumu apstiprina, ņemot vērā nosacījumu, ka plānotā avansa apmērs, tā pamatojums atbilst spējai to izlietot deviņu mēnešu laikā </w:t>
            </w:r>
            <w:r w:rsidR="00000000" w:rsidRPr="00000000" w:rsidDel="00000000">
              <w:rPr>
                <w:u w:val="single"/>
                <w:rtl w:val="0"/>
              </w:rPr>
              <w:t xml:space="preserve">saimnieciskā gada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43.punkta redakciju, norādot, ka avansu var izmaksāt vairākos maksājumos, un aicinām izvērtēt un sniegt izvērstāku pamatojumu anotācijā par noteikumu projekta 43.punktā noteikto avansa apmēru, ņemot vērā, ka saskaņā ar ES struktūrfondu un Kohēzijas fonda 2014.-2020.gada plānošanas perioda pieredzi, vidēji apstiprinātā avansu summa sasniedza 33,7 % no finansējuma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 (Gundega Morgana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vai sadarbības partneris projekta īstenošanai nepieciešamo būvdarbu, pakalpojumu vai piegādes iepirkumu veic saskaņā ar normatīvajiem aktiem publisko iepirkumu jomā, īstenojot atklātu, pārredzamu, nediskriminējošu un konkurenci nodrošinošu iepirkumu vai iepirkumu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izstrādā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ņemot vērā finansējuma saņēmēju specifiku, aicinām noteikumu projektā iekļaut prasību, ka finansējuma saņēmējs un sadarbības partneris paraksta interešu konflikta neesamības apliecinājumu. Vēršam uzmanību, ka apliecinājumā obligāti ietver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 (Gundega Morgana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"Pašreizējā situācija, problēmas un risinājumi" precizēt anotācijas aprakstu par personāla atlīdzības likmes pamatojumu, norādot aktuālās personāla amatu saimes un mēnešalgu grupas, kā arī indikatīvo personāla noslodzi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06.04.2023.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06.04.2023.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