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23-TA-2297: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likumā "Par nodokļu piemērošanu brīvostās un speciālajās ekonomiskajās zonās"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 kvalificējami kā sākotnējie ieguldījumi, tas ir, viens vai vairāki no turpmāk minētajiem - ieguldījumi jaunas kapitālsabiedrības izveidē, esošas kapitālsabiedrības ražošanas vai pakalpojumu jaudas pieaugumā, esošas kapitālsabiedrības produkcijas daudzveidošanā ar produktiem, kuri kapitālsabiedrībā iepriekš nav ražoti, vai esošas kapitālsabiedrības ražošanas procesu un vispārējo pakalpojumu sniegšanu būtiskā maiņā attiecībā uz produktu vai pakalpojumu, kas saistīts ar ieguldījumu kapitālsabiedrībā. Aizstāšanas ieguldījums nav kvalificējams kā sākotnējais ieguldījums,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iegādātie aktīvi ir jauni, izņemot gadījumu, kad tos iegādājas kapitālsabiedrība, kura atbilst </w:t>
            </w:r>
            <w:r w:rsidR="00000000" w:rsidRPr="00000000" w:rsidDel="00000000">
              <w:rPr>
                <w:rtl w:val="0"/>
              </w:rPr>
              <w:t xml:space="preserve">Komisijas regulas Nr. 651/2014</w:t>
            </w:r>
            <w:r w:rsidR="00000000" w:rsidRPr="00000000" w:rsidDel="00000000">
              <w:rPr>
                <w:rtl w:val="0"/>
              </w:rPr>
              <w:t xml:space="preserve"> I pielikumā noteiktajam mazas vai vidējas kapitālsabiedrības statusam, un izņemot kapitālsabiedrības vietas iegādi,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nemateriālie aktīvi un to izmaksas atbilst </w:t>
            </w:r>
            <w:r w:rsidR="00000000" w:rsidRPr="00000000" w:rsidDel="00000000">
              <w:rPr>
                <w:rtl w:val="0"/>
              </w:rPr>
              <w:t xml:space="preserve">Komisijas regulas Nr. 651/2014</w:t>
            </w:r>
            <w:r w:rsidR="00000000" w:rsidRPr="00000000" w:rsidDel="00000000">
              <w:rPr>
                <w:rtl w:val="0"/>
              </w:rPr>
              <w:t xml:space="preserve"> 14.panta 8.punktā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veiktie ieguldījumi pēc to pabeigšanas paliek zonā vai brīvostā vismaz piecus gadus vai trīs gadus, ja ieguldījumus veic kapitālsabiedrība, kura atbilst </w:t>
            </w:r>
            <w:r w:rsidR="00000000" w:rsidRPr="00000000" w:rsidDel="00000000">
              <w:rPr>
                <w:rtl w:val="0"/>
              </w:rPr>
              <w:t xml:space="preserve">Komisijas regulas Nr. 651/2014</w:t>
            </w:r>
            <w:r w:rsidR="00000000" w:rsidRPr="00000000" w:rsidDel="00000000">
              <w:rPr>
                <w:rtl w:val="0"/>
              </w:rPr>
              <w:t xml:space="preserve"> I pielikumā noteiktajam mazas vai vidējas kapitālsabiedrības statusam. Nav aizliegta novecojušu vai bojāto iekārtu aizstāšana vai nomaiņa ar jaunām iekārtām, ja saimnieciskā darbība turpina notikt attiecīgajā teritorijā vismaz piecus gadus vai trīs gadus, ja kapitālsabiedrība atbilsts mazas vai vidējas kapitālsabiedrības statusam,"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izziņas 2. punktā ietverto iebildumu, lūdzam likumprojektā precīzāk norādīt, kas tieši ir jāiegādājas, jo nav skaidrs, kas ir domāts ar kapitālsabiedrības vietu (vai ar to ir domāta ēkas un zemes iegāde komercdarbības veikšanai). Ja no attiecīgās regulas prasībām neizriet, ka izņēmums tam, ka iegādātie aktīvi ir jauni, ir attiecināms uz kapitālsabiedrības iegādi, proti, tās kapitāldaļu iegādi, tad ierosinām likumprojektā atsaukties uz Komisijas 2014. gada 17. jūnija regulā (ES) Nr. 651/2014, ar ko noteiktas atbalsta kategorijas atzīst par saderīgām ar iekšējo tirgu, piemērojot Līguma 107. un 108. pantu (turpmāk - regula Nr. 651/2014), lietoto terminu "uzņēmējdarbības vieta", likumprojekta anotācijā sniedzot atbilstošu skaidrojumu par likumprojektā lietoto terminoloģiju.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14) ieguldījumu pabeigšana – ir brīdis, kad zonas pārvalde vai brīvostas pārvalde izsniedz atzinumu par ieguldījumu pabeigšanu, pamatojoties uz zonas kapitālsabiedrības vai licencētas kapitālsabiedrības iesniegto apliecinājumu par ieguldījuma pabeigšanu, kuram pievienoti ieguldījumu pabeigšanas apliecinoši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tā pati vai līdzīga darbība - kā noteikts Komisijas regula Nr. 651/2014 2. panta 50. punktā, attiecas uz jebkuru darbību, kas ietilpst tajā pašā saimniecisko darbību statistiskajā klasifikācijas klasē, ko noteikusi NACE 2. redakcija, un kura tiek identificēta ar savu unikālo četrciparu kodu (NACE 2.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likumprojekta 1. pantā norādīt, ka tā pati vai līdzīga darbība ir darbība regulas Nr. 651/2014 2. panta 50. punkta izpratnē, neskaidrojot likumprojektā attiecīgajā regulā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23-TA-2297</w:t>
    </w:r>
    <w:r>
      <w:br/>
    </w:r>
    <w:r w:rsidR="00000000" w:rsidRPr="00000000" w:rsidDel="00000000">
      <w:rPr>
        <w:rtl w:val="0"/>
      </w:rPr>
      <w:t xml:space="preserve">Izdrukāts 14.11.2023. 09.57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23-TA-2297</w:t>
    </w:r>
    <w:r>
      <w:br/>
    </w:r>
    <w:r w:rsidR="00000000" w:rsidRPr="00000000" w:rsidDel="00000000">
      <w:rPr>
        <w:rtl w:val="0"/>
      </w:rPr>
      <w:t xml:space="preserve">Izdrukāts 14.11.2023. 09.57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Atzinumi_23-TA-2297.docx</dc:title>
</cp:coreProperties>
</file>

<file path=docProps/custom.xml><?xml version="1.0" encoding="utf-8"?>
<Properties xmlns="http://schemas.openxmlformats.org/officeDocument/2006/custom-properties" xmlns:vt="http://schemas.openxmlformats.org/officeDocument/2006/docPropsVTypes"/>
</file>