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"Vecumu meži"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aprobežojumi neattiecas uz ugunsdzēsības pasākumiem, Latvijas valsts robežas drošības un apsardzības pasākumiem, glābšanas un meklēšanas pasākumiem un ārkārtējām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Pretmobilitātes infrastruktūras izveides likumu un Aizsardzības ministrijas plānotos darbus austrumu pierobežā, Aizsardzības ministrija aicina papildināt noteikumu projektu nosakot izņēmumu šajā dabas parka "Vecuma meži" teritorijā - noteikumu neattiecināšanu uz aizsardzības un drošības iestāžu apbūvi.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aprobežojumi neattiecas uz ugunsdzēsības pasākumiem, Latvijas valsts robežas drošības un apsardzības pasākumiem, aizsardzības un drošības iestāžu apbūvi, glābšanas un meklēšanas pasākumiem un ārkārtējām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Pūpols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būvēt elektronisko sakaru tīklu torņus, izņemot robežsardzes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Pretmobilitātes infrastruktūras izveides likumu, Aizsardzības ministrija aicina papildināt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būvēt elektronisko sakaru tīklu torņus, izņemot robežsardzes, aizsardzības un drošības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Pūpols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Dabas lieguma zonā zemes vienību sadalīšana (tai skaitā dalot kopīpašumu) atļauta tikai gadījumos, ja katras atsevišķas zemes vienības platība pēc sadalīšanas nav mazāka par 10 hektāriem, kā arī noteiktas lietošanas tiesības kopīpašumam, ja jebkura kopīpašnieka lietošanā paliek mazāk par 10 hektāriem,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Pretmobilitātes infrastruktūras izveides likumu un Aizsardzības ministrijas plānotos darbus austrumu pierobežā, Aizsardzības ministrija rosina papildināt  27. punktu ar 27.4.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zemes vienības, kas tiek atdalītas valsts aizsardzības un drošības būvju būvniecībai vai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Pūpols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Dabas parka zonā zemes vienību sadalīšana (tai skaitā dalot kopīpašumu) atļauta tikai gadījumos, ja katras atsevišķas zemes vienības platība pēc sadalīšanas nav mazāka par pieciem hektāriem, kā arī noteiktas lietošanas tiesības kopīpašumam, ja jebkura kopīpašnieka lietošanā paliek mazāk par pieciem hektāriem,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Pretmobilitātes infrastruktūras izveides likumu un Aizsardzības ministrijas plānotos darbus austrumu pierobežā, Aizsardzības ministrija rosina papildināt  32. punktu ar 32.4.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zemes vienības, kas tiek atdalītas valsts aizsardzības un drošības būvju būvniecībai vai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Pūpols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Atzinumi_24-TA-325.docx</dc:title>
</cp:coreProperties>
</file>

<file path=docProps/custom.xml><?xml version="1.0" encoding="utf-8"?>
<Properties xmlns="http://schemas.openxmlformats.org/officeDocument/2006/custom-properties" xmlns:vt="http://schemas.openxmlformats.org/officeDocument/2006/docPropsVTypes"/>
</file>