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 </w:t>
            </w:r>
            <w:r w:rsidR="00000000" w:rsidRPr="00000000" w:rsidDel="00000000">
              <w:rPr>
                <w:rtl w:val="0"/>
              </w:rPr>
              <w:t xml:space="preserve">4.5.</w:t>
            </w:r>
            <w:r w:rsidR="00000000" w:rsidRPr="00000000" w:rsidDel="00000000">
              <w:rPr>
                <w:rtl w:val="0"/>
              </w:rPr>
              <w:t xml:space="preserve"> punktā norādīto informāciju), Uzņēmumu reģistra (</w:t>
            </w:r>
            <w:r w:rsidR="00000000" w:rsidRPr="00000000" w:rsidDel="00000000">
              <w:rPr>
                <w:rtl w:val="0"/>
              </w:rPr>
              <w:t xml:space="preserve">3.1.2.</w:t>
            </w:r>
            <w:r w:rsidR="00000000" w:rsidRPr="00000000" w:rsidDel="00000000">
              <w:rPr>
                <w:rtl w:val="0"/>
              </w:rPr>
              <w:t xml:space="preserve"> punktā norādīto informāciju) Sodu reģistra,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9.1.apakšpunkta izriet, ka valsts akciju sabiedrība "Ceļu satiksmes drošības direkcija", sniedzot pakalpojumus, iegūst un apstrādā informāciju arī no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19.panta pirmās daļas 4.punktu tiesības pieprasīt un saņemt ziņas no reģistra ir citām iestādēm — ziņas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papildinot to ar no valsts informācijas sistēmas "Sodu reģistrs" saņemamo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9.1.apakšpunkta izriet, ka valsts akciju sabiedrība "Ceļu satiksmes drošības direkcija", sniedzot pakalpojumus, iegūst un apstrādā informāciju arī no valsts informācijas sistēmas "Fizisko personu reģistrs" (projekta 3.1.1. un 4.1.–4.5. apakšpunktā norādīto informāciju), savukārt projekta sākotnējās ietekmes (ex-ante) novērtējuma ziņojuma (anotācijas) (turpmāk - anotācija) 1.3.sadaļā papildus ir norādīts, ka no Pilsonības un migrācijas lietu pārvaldes uzturētās valsts informācijas sistēmas “Fizisko personu reģistrs” tiek iegūta šāda informācija: personas kods, uzvārds, vārds (vārdi), </w:t>
            </w:r>
            <w:r w:rsidR="00000000" w:rsidRPr="00000000" w:rsidDel="00000000">
              <w:rPr>
                <w:u w:val="single"/>
                <w:rtl w:val="0"/>
              </w:rPr>
              <w:t xml:space="preserve">personas statuss (“aktīvs”/“pasīvs”)</w:t>
            </w:r>
            <w:r w:rsidR="00000000" w:rsidRPr="00000000" w:rsidDel="00000000">
              <w:rPr>
                <w:rtl w:val="0"/>
              </w:rPr>
              <w:t xml:space="preserve">, ziņas par personas miršanu, </w:t>
            </w:r>
            <w:r w:rsidR="00000000" w:rsidRPr="00000000" w:rsidDel="00000000">
              <w:rPr>
                <w:u w:val="single"/>
                <w:rtl w:val="0"/>
              </w:rPr>
              <w:t xml:space="preserve">ziņas par personas rīcībspējas ierobežošanu vai rīcībspējas ierobežojuma pārskatīšanu</w:t>
            </w:r>
            <w:r w:rsidR="00000000" w:rsidRPr="00000000" w:rsidDel="00000000">
              <w:rPr>
                <w:rtl w:val="0"/>
              </w:rPr>
              <w:t xml:space="preserve">, kā arī ziņas par 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2025.gada 01.oktobra sanāksmē panākto vienošanos, salāgot projekta 9.1.apakšpunktā un projekta anotācija 1.3.sadaļā norādīto informāciju par no Pilsonības un migrācijas lietu pārvaldes iegūstamo datu apjomu, nodrošinot to savstarpēju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27.10.2025.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27.10.2025.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