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 projekta netiešās attiecināmās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noteikumi Nr. 443) 30.4. apakšpunktā nav norādītas netiešās attiecināmās izmaksas, tādēļ lūdzam atbilstoši redakcionāli precizēt minēto noteikumu 30.4.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Šo noteikumu 20.3. apakšpunktā minētajiem projekta iesniedzējiem finansējums pieejams 100% apmērā no paredzamās būvdarbu līguma summas,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neveidot apakšpunktu, papildinot 31. punkta ievaddaļu, jo atbilstoši juridiskās tehnikas prasībām apakšpunktus veido vienīgi gadījumos, ja tie ir vismaz divi.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kura projekts tiek īstenots kā augstākās gatavības projekts, ir tiesīgs vadības informācijas sistēmā iesniegt veiktās priekšizpētes pamatojošos dokumentus, ja projektā tiek īstenots apvienotais projektēšanas un būvdarbu iepirkums. Nosacījums par veiktās priekšizpētes pamatojošo dokumentu iesniegšanu vadības informācijas sistēmā neattiecas uz projekta iesniedzēju Mākslu izglītības kompetences centrs "Nacionālā Mākslu vidusskola" (projekta īstenošanas adrese Slokas ielas 52a, Rīga), kam būvprojekts ir jau izvērtēts atbilstoši šo noteikumu 42. punktam, kā arī šo noteikumu 20.3. apakšpunktā minētajiem projekta iesniedzējiem, kuru projekts tiek īstenots kā augstākās gatavības projekts un finansējums pieejams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mākslu izglītības kompetences centru "Nacionālā Mākslu vidusskola" u.c. jebkurā gadījumā neattiecas nosacījums par veiktās priekšizpētes pamatojošo dokumentu iesniegšanu vadības informācijas sistēmā, jo tas attiecas vienīgi uz valsts sabiedrība ar ierobežotu atbildību "Latvijas Nacionālā opera un balets" (projekta īstenošanas adrese – Aspazijas bulvāris 3, Rīga) un projekta iesniedzēju valsts akciju sabiedrība "Valsts nekustamie īpašumi". Attiecīgi nav nepieciešama noteikumu Nr. 443 44. punkta otrajā teikumā iekļautā norāde par minētā nosacījuma neattiecināšanu, tādēļ lūdzam to svītrot vai citādi precizēt minēto noteikumu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Kultūras ministrija var mainīt šo noteikumu pielikumā noteikto finansējuma apmēru projekta iesniedzējiem, sniedzot apliecinājumu Ekonomikas ministrijai un norādot finansējuma sadalījumu starp projektiem, ja kādā no projektiem tik konstatēts finansējuma pārpalikums, kurš var tikt novirzīts uz projektu, kura īstenošanai nepieciešams papildu finansējums. Aģentūrā Kultūras ministrija iesniedz pamatojumu par izmaiņu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punktu nepieciešams izvērtēt un precizēt vai svītrot. Norādām, ka finansējuma apmērs tiek iekļauts projekta iesniegumā, bet pēc tam tas tiek norādīts līgumā par projekta īstenošanu, kura puses ir Centrālā finanšu un līgumu aģentūra un finansējuma saņēmējs, attiecīgi nav saskatāms pamatojums tam, Kultūras ministrija (kura nav līguma dalībniece) var minētā līguma izpildes ietvaros vienpusēji mainīt pielikumā noteikto finansējuma apmēru, uz kā pamata jau ir noslēgts minētais līgums. Paužam bažas, ka tādējādi var tikt aizskarta finansējuma saņēmēja tiesiskā paļāvība.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56.1. un 56.2. apakšpunktā minētie nosacījumi neattiecas uz šo noteikumu 20.3. apakšpunktā minēto projekta iesniedzēju valsts akciju sabiedrība "Valsts nekustamie īpašumi" (projekta īstenošanas adrese –  Talejas iela 1, 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paredzēt atsevišķu punktu par noteikumu Nr. 443 56. punkta neattiecināšanu uz projekta iesniedzēju valsts akciju sabiedrība "Valsts nekustamie īpašumi" (projekta īstenošanas adrese –  Talejas iela 1, Rīga), lai izslēgtu šaubas, ka minētajam projekta iesniedzējam finansējumu šo noteikumu 29. punktā minēto atbalstāmo darbību īstenošanai, paredzot energoefektivitātes uzlabošanas pasākumus ēkās, kuras paredzēts ekspluatēt atbilstoši kultūras funkcijai, 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svītrot noteikumu Nr. 443 30.1., 30.2., 30.4. un 30.4.1 apakšpunktā iekļauto tiesību normu izklāstu, tādējādi atbilstoši juridiskās tehnikas prasībām nedublējot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19.11.2024.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19.11.2024.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