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 projektu iesniegumu pirmajā atlases kārtā 18% apmērā no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minētajām tiešajām attiecināmajām izmaksām, kas nav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saskaņoto pieeju ar Finanšu ministriju projekta vadības un īstenošanas personāla izmaksu likmes aprēķinā, lūdzam precizēt Ministru kabineta noteikumu projekta 26.2.1.punktā un anotācijā vienotās likmes apmēru uz 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Neparedzētie izdevumi nepārsniedz trīs procentus no projekta kopējām tiešajām attiecināmajām izmaksām. Neparedzēto izdevumu izlietošanu finansējuma saņēmējs saskaņo ar sadarbības iestādi, kā to nosaka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27.punktā vārdus “.. kā to nosaka vienošanās”, ņemot vērā, ka  vienošanās par projekta īstenošanu šo jautājumu neregulē.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Neparedzētie izdevumi nepārsniedz trīs procentus no projekta kopējām tiešajām attiecināmajām izmaksām. Neparedzēto izdevumu izlietošanu finansējuma saņēmējs saskaņo ar sadarbības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pirmās un otrās atlases kārtas ietvaros projektu īsteno saskaņā ar vienošanos par projekta īstenošanu, bet ne ilgāk kā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otrās atlases kārtas ietvaros varētu tikt noslēgta gan vienošanās, gan līgums par projekta īstenošanu, lūdzam atbilstoši precizēt noteikumu projekta 33. un 38. punktu. Vēršam uzmanību, ka no Eiropas Savienības fondu 2021.—2027. gada plānošanas perioda vadības likuma 18. panta pirmās daļas 1. un 2. punkta izriet, ka gadījumā, ja finansējuma saņēmējs ir fiziskā vai juridiskā persona, tiek slēgts līgums par projekta īstenošanu, savukārt gadījumā, ja finansējuma saņēmējs ir tiešās vai pastarpinātās pārvaldes iestāde, atvasināta publiska persona vai cita valsts iestāde, tiek slēgta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sniegts skaidrojums, ka "...</w:t>
            </w:r>
            <w:r w:rsidR="00000000" w:rsidRPr="00000000" w:rsidDel="00000000">
              <w:rPr>
                <w:i w:val="1"/>
                <w:rtl w:val="0"/>
              </w:rPr>
              <w:t xml:space="preserve">ja pirms projekta apstiprināšanas būs radušās izmaksas, kas nav attiecināmas no ES fondu līdzekļiem, tas ir finansējuma saņēmēja risks, un izmaksas tiek segtas no finansējuma saņēmēja gada sākumā apstiprinātā budžeta ietvaros. 2.2.3.3.pasākuma pirmajā atlases kārtā DAP kā VARAM pakļautības iestādei ik gadu tiek apstiprināts budžets, līdz ar to iespējas ir rīkoties tikai pieejamā budžeta ietvaros, neveicot no tā atkāpes, kas nozīmē, ka risks pirms projekta apstiprināšanas radītām izmaksām, kas nav attiecināmas no Eiropas Savienības fondu līdzekļiem, ir neliels</w:t>
            </w:r>
            <w:r w:rsidR="00000000" w:rsidRPr="00000000" w:rsidDel="00000000">
              <w:rPr>
                <w:rtl w:val="0"/>
              </w:rPr>
              <w:t xml:space="preserve">". Ņemot vērā minēto, atkārtoti lūdzam papildināt Ministru kabineta sēdes protokollēmuma projektu ar punktu, kas nosaka finanšu plūsmas pirms projekta apstiprināšanas nodrošināšanas nosacījumus pirmās atlases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Eiropas Reģionālās attīstības fonda līdzfinansētā 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atlases kārtas projekta iesnieguma apstiprināšanai sadarbības iestādē ar projekta īstenošanu saistītās izmaksas tiks segtas Dabas aizsardzības pārvaldei kārtējā gada sākumā apstiprinātā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18.01.2024.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18.01.2024.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Atzinumi_23-TA-2391.docx</dc:title>
</cp:coreProperties>
</file>

<file path=docProps/custom.xml><?xml version="1.0" encoding="utf-8"?>
<Properties xmlns="http://schemas.openxmlformats.org/officeDocument/2006/custom-properties" xmlns:vt="http://schemas.openxmlformats.org/officeDocument/2006/docPropsVTypes"/>
</file>