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TA projekta tālākai virzībai, vienlaikus norādot, ka sagatavotie finanšu aprēķini neietver detalizētu informāciju kā to paredz Vadlīnijas tiesību akta projekta sākotnējās ietekmes novērtēšanai un novērtējuma ziņojuma sagatavošanai TAP (pieejams: https://www.mk.gov.lv/lv/administrativa-sloga-un-normativisma-mazinasana), kā arī vēršama papildu uzmanība, ka vecākā eksperta (projekta koordinatora) klasifikācija 15.1. saimes III līmenī var tikt apstiprināta tikai veicot konkrētā amata apraksta saskaņošanu ar Valsts kanceleju kopējā amatu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27.06.2024.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27.06.2024.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