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Atkritumu apsaimniekošanas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Atkritumu apsaimniekošanas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attiecībā uz termina "akumulators" lietošanu vai izslēgšanu no Atkritumu apsaimniekošanas likuma (turpmāk - likums) ietverta pretrunīga informācija, salīdzinot ar likumprojektā paredzētajiem grozījumiem. Piemēram, anotācijā sniegta informācija, ka: "</w:t>
            </w:r>
            <w:r w:rsidR="00000000" w:rsidRPr="00000000" w:rsidDel="00000000">
              <w:rPr>
                <w:i w:val="1"/>
                <w:rtl w:val="0"/>
              </w:rPr>
              <w:t xml:space="preserve">Ņemot vērā, ka Bateriju regulā netiek lietots jēdziens “akumulators”, ir nepieciešams Atkritumu apsaimniekošanas likuma 42.panta ceturtajā daļā izslēgt vārdus “un akumulatoru”. Bateriju regulas VI pielikuma B. daļā ir noteiktas prasības bateriju marķēšanai ar speciālu marķējumu, kurā norādīta prasība savākt bateriju atkritumus atsevišķi no citiem atkritumiem. Atkritumu apsaimniekošanas likuma 43.panta piektajā daļā ir nepieciešams izslēgt vārdu “vai akumulatoru”.</w:t>
            </w:r>
            <w:r w:rsidR="00000000" w:rsidRPr="00000000" w:rsidDel="00000000">
              <w:rPr>
                <w:rtl w:val="0"/>
              </w:rPr>
              <w:t xml:space="preserve">" Atbilstoši minētajam likumprojektā vairākās likuma vienībās paredzēts izslēgt vārdu "akumulators". Vienlaikus likumprojekta 8. pantā vārds tiek lietots kā nošķirts termins blakus terminam "baterijas" un tiek izveidots saīsinājums "baterijas" ("</w:t>
            </w:r>
            <w:r w:rsidR="00000000" w:rsidRPr="00000000" w:rsidDel="00000000">
              <w:rPr>
                <w:i w:val="1"/>
                <w:rtl w:val="0"/>
              </w:rPr>
              <w:t xml:space="preserve">bateriju vai akumulatoru (turpmāk - baterijas) veidiem</w:t>
            </w:r>
            <w:r w:rsidR="00000000" w:rsidRPr="00000000" w:rsidDel="00000000">
              <w:rPr>
                <w:rtl w:val="0"/>
              </w:rPr>
              <w:t xml:space="preserve">"). Attiecīgi lūdzam izvērtēt un ievērot konsekventu pieeju likumprojektā attiecīgā termina lietošanā.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w:t>
            </w:r>
            <w:r w:rsidR="00000000" w:rsidRPr="00000000" w:rsidDel="00000000">
              <w:rPr>
                <w:vertAlign w:val="superscript"/>
                <w:rtl w:val="0"/>
              </w:rPr>
              <w:t xml:space="preserve">1</w:t>
            </w:r>
            <w:r w:rsidR="00000000" w:rsidRPr="00000000" w:rsidDel="00000000">
              <w:rPr>
                <w:rtl w:val="0"/>
              </w:rPr>
              <w:t xml:space="preserve">) Elektrisko un elektronisko iekārtu, kas nav uzskatāmas par mājsaimniecības elektriskajām vai elektroniskajām iekārtām, ražotājs atbilstoši šā likuma 26.panta otrajai daļai [RC1] sedz šo elektrisko un elektronisko iekārtu atkritumu savākšanas, apstrādes, reģenerācijas un apglabāšanas videi nekaitīgā veidā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atkritumiem, kas radušies no elektriskajām un elektroniskajām iekārtām, kuras uzskatīja par elektriskajām un elektroniskajām iekārtām laika posmā no 2012. gada 13. augusta līdz 2018. gada 14. augustam ,izņemot fotoelementu paneļus,  kas laistas tirgū pēc 2005.gada 13.augusta;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atkritumiem, kas radušies no fotoelementu paneļiem, ja šādi fotoelementu paneļi ir laisti tirgū no 2012.gada 13.augusta;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atkritumiem, kas radušies no elektriskajām un elektroniskajām iekārtām, kas tika uzskatītas par elektriskajām un elektroniskajām iekārtam no 2018.gada 15.augusta un kas netika uzskatītas par elektriskajām un elektroniskajām iekārtām no 2012.gada 13.augusta līdz 2018.gada 14.augustam, ja šādas iekārtas ir laistas tirgū no 2018. gada 15. augusta.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Ražotāji piegādes laikā sedz elektrisko un elektronisko iekārtu, kas nav uzskatāmas par mājsaimniecības elektriskajām un elektroniskajām iekārtām, un kas tika uzskatītas par elektriskajām un elektroniskajām iekārtām laika posmā no 2012. gada 13. augusta līdz 2018. gada 14. augustam, izņemot fotoelementu paneļus, un kuras ir laistas tirgū 2005. gada 13. augustā vai pirms tam, atkritumu apsaimniekošanas izmaksas, ja attiecīgās iekārtas tiek aizstātas ar jaunām līdzvērtīgām iekārtām vai tādām jaunām iekārtām, kas veic līdzvērtīgas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3</w:t>
            </w:r>
            <w:r w:rsidR="00000000" w:rsidRPr="00000000" w:rsidDel="00000000">
              <w:rPr>
                <w:rtl w:val="0"/>
              </w:rPr>
              <w:t xml:space="preserve">) Atkritumu, kas radušies no citām elektriskajām un elektroniskajām iekārtām , izņemot fotoelementu paneļus, kas tika uzskatītas par elektriskajām un elektroniskajām iekārtām laika posmā starp 2012. gada 13. augustu līdz 2018. gada 14. augustu, un kas ir laistas tirgū 2005.gada 13.augustā vai pirms tam, apsaimniekošanas izmaksas sedz elektrisko un elektronisko iekārtu lietotāji, kas nav mājsaimniecības, ja minēto atkritumu apsaimniekošanas izmaksas netiek segtas atbilstoši šā panta 2.2 daļā noteiktajā kārtībā , ja minēto atkritumu apsaimniekošanas izmaksas netiek segtas atbilstoši šā panta 2.2 daļā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novēršot tehnisku kļūdu (proti, frāze "ja minēto atkritumu apsaimniekošanas izmaksas netiek segtas atbilstoši šā panta 2.</w:t>
            </w:r>
            <w:r w:rsidR="00000000" w:rsidRPr="00000000" w:rsidDel="00000000">
              <w:rPr>
                <w:vertAlign w:val="superscript"/>
                <w:rtl w:val="0"/>
              </w:rPr>
              <w:t xml:space="preserve">2</w:t>
            </w:r>
            <w:r w:rsidR="00000000" w:rsidRPr="00000000" w:rsidDel="00000000">
              <w:rPr>
                <w:rtl w:val="0"/>
              </w:rPr>
              <w:t xml:space="preserve"> daļā noteiktajā kārtībā" ietverta dubultā). Aicinām arī precizēt frāzi, svītrojot vārdu "atbilstoši".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vai 2.</w:t>
            </w:r>
            <w:r w:rsidR="00000000" w:rsidRPr="00000000" w:rsidDel="00000000">
              <w:rPr>
                <w:vertAlign w:val="superscript"/>
                <w:rtl w:val="0"/>
              </w:rPr>
              <w:t xml:space="preserve">2</w:t>
            </w:r>
            <w:r w:rsidR="00000000" w:rsidRPr="00000000" w:rsidDel="00000000">
              <w:rPr>
                <w:rtl w:val="0"/>
              </w:rPr>
              <w:t xml:space="preserve"> un 2.</w:t>
            </w:r>
            <w:r w:rsidR="00000000" w:rsidRPr="00000000" w:rsidDel="00000000">
              <w:rPr>
                <w:vertAlign w:val="superscript"/>
                <w:rtl w:val="0"/>
              </w:rPr>
              <w:t xml:space="preserve">3</w:t>
            </w:r>
            <w:r w:rsidR="00000000" w:rsidRPr="00000000" w:rsidDel="00000000">
              <w:rPr>
                <w:rtl w:val="0"/>
              </w:rPr>
              <w:t xml:space="preserve"> daļā korekti pārņemtas direktīvas prasības un izmantota dalībvalsts rīcības brīvība. Proti, saskaņā ar anotācijas 5.4. apakšsadaļas 1. tabulā norādīto 2.</w:t>
            </w:r>
            <w:r w:rsidR="00000000" w:rsidRPr="00000000" w:rsidDel="00000000">
              <w:rPr>
                <w:vertAlign w:val="superscript"/>
                <w:rtl w:val="0"/>
              </w:rPr>
              <w:t xml:space="preserve">2</w:t>
            </w:r>
            <w:r w:rsidR="00000000" w:rsidRPr="00000000" w:rsidDel="00000000">
              <w:rPr>
                <w:rtl w:val="0"/>
              </w:rPr>
              <w:t xml:space="preserve"> daļā ir pārņemta ar Eiropas Parlamenta un Padomes 2024. gada 13. marta Direktīvas (ES) 2024/884, ar ko groza Direktīvu 2012/19/ES par elektrisko un elektronisko iekārtu atkritumiem (EEIA) (turpmāk - Direktīva 2024/884) 1. panta 3. punktu jaunā redakcijā izteiktā Direktīvas 2012/19/ES 13. panta 1. punkta otrā daļa (tabulā apzīmēta kā "13. panta 1. punkta pirmā rindkopa"). Direktīvas 2012/19/ES 13. panta 1. punkta otrās daļas 2. teikums paredz dalībvalsts rīcības brīvību: "</w:t>
            </w:r>
            <w:r w:rsidR="00000000" w:rsidRPr="00000000" w:rsidDel="00000000">
              <w:rPr>
                <w:i w:val="1"/>
                <w:rtl w:val="0"/>
              </w:rPr>
              <w:t xml:space="preserve">Dalībvalstis alternatīvi var noteikt daļēju vai pilnīgu atbildību par</w:t>
            </w:r>
            <w:r w:rsidR="00000000" w:rsidRPr="00000000" w:rsidDel="00000000">
              <w:rPr>
                <w:i w:val="1"/>
                <w:u w:val="single"/>
                <w:rtl w:val="0"/>
              </w:rPr>
              <w:t xml:space="preserve"> minēto finansējumu</w:t>
            </w:r>
            <w:r w:rsidR="00000000" w:rsidRPr="00000000" w:rsidDel="00000000">
              <w:rPr>
                <w:i w:val="1"/>
                <w:rtl w:val="0"/>
              </w:rPr>
              <w:t xml:space="preserve"> arī lietotājiem, kas nav privātas mājsaimniecības</w:t>
            </w:r>
            <w:r w:rsidR="00000000" w:rsidRPr="00000000" w:rsidDel="00000000">
              <w:rPr>
                <w:rtl w:val="0"/>
              </w:rPr>
              <w:t xml:space="preserve">." Ņemot vērā teikuma novietojumu, vārdi "par minēto finansējumu" pirmšķietami </w:t>
            </w:r>
            <w:r w:rsidR="00000000" w:rsidRPr="00000000" w:rsidDel="00000000">
              <w:rPr>
                <w:u w:val="single"/>
                <w:rtl w:val="0"/>
              </w:rPr>
              <w:t xml:space="preserve">attiecas uz 13. panta 1. punkta otrās daļas 1. teikumā minēto finansējumu</w:t>
            </w:r>
            <w:r w:rsidR="00000000" w:rsidRPr="00000000" w:rsidDel="00000000">
              <w:rPr>
                <w:rtl w:val="0"/>
              </w:rPr>
              <w:t xml:space="preserve">. Direktīvas 2012/19/ES 13. panta 1. punkta otrās daļas 1. teikums ir pārņemts likuma 27. panta 2.</w:t>
            </w:r>
            <w:r w:rsidR="00000000" w:rsidRPr="00000000" w:rsidDel="00000000">
              <w:rPr>
                <w:vertAlign w:val="superscript"/>
                <w:rtl w:val="0"/>
              </w:rPr>
              <w:t xml:space="preserve">2</w:t>
            </w:r>
            <w:r w:rsidR="00000000" w:rsidRPr="00000000" w:rsidDel="00000000">
              <w:rPr>
                <w:rtl w:val="0"/>
              </w:rPr>
              <w:t xml:space="preserve"> daļā. Saskaņā ar tabulā ietverto informāciju rīcības brīvība ir izmantota likuma 27. panta 2.</w:t>
            </w:r>
            <w:r w:rsidR="00000000" w:rsidRPr="00000000" w:rsidDel="00000000">
              <w:rPr>
                <w:vertAlign w:val="superscript"/>
                <w:rtl w:val="0"/>
              </w:rPr>
              <w:t xml:space="preserve">3</w:t>
            </w:r>
            <w:r w:rsidR="00000000" w:rsidRPr="00000000" w:rsidDel="00000000">
              <w:rPr>
                <w:rtl w:val="0"/>
              </w:rPr>
              <w:t xml:space="preserve"> daļas beigās. Tomēr pamatnormā, kas ir ietverta likuma 27. panta 2.</w:t>
            </w:r>
            <w:r w:rsidR="00000000" w:rsidRPr="00000000" w:rsidDel="00000000">
              <w:rPr>
                <w:vertAlign w:val="superscript"/>
                <w:rtl w:val="0"/>
              </w:rPr>
              <w:t xml:space="preserve">3</w:t>
            </w:r>
            <w:r w:rsidR="00000000" w:rsidRPr="00000000" w:rsidDel="00000000">
              <w:rPr>
                <w:rtl w:val="0"/>
              </w:rPr>
              <w:t xml:space="preserve"> daļā, ir pārņemta Direktīvas 2012/19/ES 13. panta 1. punkta trešā daļa (tabulā apzīmēta kā "13. panta 1. punkta otrā rindkopa"). Attiecīgi aicinām izvērtēt, vai rīcības brīvība izmantota korekti, kā arī vai Direktīvas 2012/19/ES 13. panta 1. punkta trešā daļa pārņemta korekti. Ja nepieciešams, aicinām precizēt likumprojektu vai sniegt izvērstāku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 apakšsadaļā ietverto pamatojumu likumprojekta 2. pantā paredzēto grozījumu, sniedzot skaidrojumu arī par to, vai un kāda ir grozījuma ietekme uz Atkritumu apsaimniekošanas likumā ietverto normu un tajos paredzēto privātpersonu tiesību un pienākumu tvērumu, ņemot vērā, ka tiek precizēta likuma piemērošanas joma.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aktualizēt sadaļā ietverto informāciju atbilstoši likumprojektā paredzētajiem grozījumiem (sk. likumprojekta 9.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11.11.2025. 08.35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11.11.2025. 08.35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Atzinumi_25-TA-267.docx</dc:title>
</cp:coreProperties>
</file>

<file path=docProps/custom.xml><?xml version="1.0" encoding="utf-8"?>
<Properties xmlns="http://schemas.openxmlformats.org/officeDocument/2006/custom-properties" xmlns:vt="http://schemas.openxmlformats.org/officeDocument/2006/docPropsVTypes"/>
</file>