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stājas spēkā 2023. gada 1. augustā.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projekta 2. punktā iekļautā spēkā stāšanās laika pagātnes formu, rosinām precizēt spēkā stāšanās laiku, norādot atbilstošu nākotnes pozīciju.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Vika Vītoliņa-Pugace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08.08.2023.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08.08.2023.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