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pārliecību par Radošā inkubatora darbības pēctecību, nodrošinot, ka Eiropas Savienības kohēzijas politikas programmas 2021.–2027.gadam 1.2.3.1. pasākuma “Atbalsts MVU inovatīvas uzņēmējdarbības attīstībai” ietvaros sniegtais atbalsts radošo industriju jomā tiek nodrošināts vismaz tādā pašā apjomā kā Eiropas Savienības fondu 2014.-2020.gada plānošanas perioda ietvaros, lūdzam Ekonomikas ministriju noteikt nacionāli sasniedzamos rādītājus radošo industriju atbalstam vai sniegt citu priekšlikumu, kā nodrošināt, ka kopējās sistēmas ietvaros radošo industriju pārstāvjiem tiks nodrošināts atbalsts plānotajā intensitātē un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Krastiņa-Sidorenko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22.06.2023.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22.06.2023.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