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attīstības pamatnostādņu 2021.-2027.gadam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saskaņošanas sanāksmē  11.12.2024. EM iebildums pie 4.3.4. punkta - neiekļaut Ekonomikas ministriju kā līdzatbildīgo institūciju tika ņemts vērā. Tā kā EM pārstāvis izslēgts no darba grupas, kas izveidota ar SM 2024. gada 21. februāra rīkojumu Nr. 01-03/48 “Par darba grupas izveidi valsts regulējuma par alternatīvo degvielu tirgus attīstību un attiecīgās infrastruktūras ieviešanu izstrādāšanai”, EM dzēsta no līdzatbildīgajām institūcijām. Šis lēmums ir fiksēts arī izziņā. Informatīvā ziņojuma tekstā, pie 4.3.4 punkta, kur iekļauti papildus skaidrojumi, EM pie atbildīgajām/līdzatbildīgajām iestādēm nav uzskaitīta, tomēr nav papildināts ar informāciju, ka atceļama EM iesaiste, kā tas ir citos punktos.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tekstā, pie 4.3.4 punkta, ka EM iesaiste pasākumā nav aktuāla.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Zakse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16.01.2025. 22.38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16.01.2025. 22.38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Atzinumi_24-TA-2172.docx</dc:title>
</cp:coreProperties>
</file>

<file path=docProps/custom.xml><?xml version="1.0" encoding="utf-8"?>
<Properties xmlns="http://schemas.openxmlformats.org/officeDocument/2006/custom-properties" xmlns:vt="http://schemas.openxmlformats.org/officeDocument/2006/docPropsVTypes"/>
</file>