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atbalsts starpresoru sadarbības stiprināšanai nacionālā līmenī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mērķa sasniegšanai, kā arī starpinstitūciju sadarbības mehānisma izstrādei un aprobācijai pašvaldībās un preventīvajā darbā iesaistīto speciālistu sadarbībai pašvaldības un izglītības iestādes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atkārtoti aicina pārskatīt plānojamās darbības, t.sk., veicot iepriekš veikto investīciju efektivitātes analīzi attiecībā uz centralizēti īstenotu atbalsta materiālu, informatīvo materiālu, vadlīniju u.c. dokumentācijas veidu izstrādi. Vēršam uzmanību, ka esošie rezultāti apliecina, ka maksimāli atbalsts koncetrējams izglītojamo faktiskajam atbalstam. Aicinām izvērtēt un papildināt anotāciju ar argumentiem, kā konkrēto darbību īstenošanas rezultāti būs izmērāmi (KPI (key-performace indicators) konkrēto darbību īstenošanai).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23.3.2.1. pedagoga atbalsts izglītojamiem pirmsskolā lasītprasmes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anotāciju ar datiem par izglītojamo skaitu, kuriem ir noteikti lasītprasmes traucējumi pirmsskolas programmas apguvē vai sniegt datos balstītu pamatojumu konkrētā atbalsta ieviešanai (nepieciešamībai). Lūdzam anotāciju papildināt ar informāciju par šāda atbalsta ilgtspēju, ja tas tiek sniegts šobrīd kā īstermiņa risinājums, t.sk., iespējamo fiskālo ietekmi un risinājumiem, kā tiks novērsta iespējama duālā finansēšana kontekstā ar pedagogu mērķdotāciju obligātās izglītības posmā.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26.04.2024. 19.00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26.04.2024. 19.00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Atzinumi_23-TA-1075.docx</dc:title>
</cp:coreProperties>
</file>

<file path=docProps/custom.xml><?xml version="1.0" encoding="utf-8"?>
<Properties xmlns="http://schemas.openxmlformats.org/officeDocument/2006/custom-properties" xmlns:vt="http://schemas.openxmlformats.org/officeDocument/2006/docPropsVTypes"/>
</file>