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(DAIF Latvija) nepiekrīt, ka kvalitātes kritēriju kopas 1.sadaļā "Sadarbības tīkla dalībnieku, neskaitot pētniecības un zināšanu izplatīšanas organizācijas, (savstarpēji nesaistītu sīko (mikro), mazo, vidējo un lielo komersantu) apgrozījums vidēji pēdējo trīs noslēgto finanšu gadu laikā līdz projekta iesnieguma iesniegšanai" maksimālais punktu skaits tiek piešķirts tīklam, kura dalībnieku kopējais gada apgrozījums ir lielāks nekā 300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DAIF Latvija nav skaidrs šāda apgrozījuma rādītāja pamatojums, īpaši ņemot vērā, ka līdzšinējā noteikumu projektā augstākais apgrozījuma kritērijs bija noteikts 150 milj.EUR (šobrīd divas reizes lielāks) – līdz ar to aicinām Ekonomikas ministriju skaidrot/pamatot tieši šāda kritērija apjoma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šāds kritērijs nav samērīgs ar atbalsta programmā paredzēto atbalsta finansējuma apjomu, iesaistāmo uzņēmumu skaitu, jo tā kā kopējais atbalsta finansējums vienam sadarbības tīklam ir noteikts maksimums 437 369 EUR, tad gadījumā, ja tīkls projekta vadībai un īstenošanai attiecina pieļaujamo attiecināmo izmaksu apjomu, tad atbalsta finansējuma apjoms vienam tīkla dalībniekam projekta īstenošanas periodā (~2,5 gadi) ir vidēji maksimums 10 000 EUR, pie nosacījuma, ka katrs no obligāti iesaistītajiem 30 dalībniekiem saņem atbalstu. Šādā gadījumā saņemamais atbalsta apjoms vienam dalībniekam ir salīdzinoši neliels un var kavēt iesaistīties atbalsta programmā uzņēmumus īpaši ar lielākiem apgrozījuma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obligātais nosacījums, lai sadarbības tīkls kvalificētos projekta kritērijiem, ir nodrošināt, ka kopējais dalībnieku neto apgrozījums vidēji pēdējo trīs noslēgto finanšu gadu laikā līdz projekta iesnieguma iesniegšanai ir ne mazāks kā 40 miljoni euro gadā. DAIF Latvija ieskatā, šis minimālais kritērijs arī tieši norāda uz to, ka atbalsta programma sniegtu labumu efektīvāk MVU sektora uzņēmumiem un to internacionalizācijai un privāto pētniecības un attīstības investīciju apjoma palielināšanai, līdz ar to - arī kvalitātes kritēriju kopa būtu jāparedz tāda, ka vairākumā tiktu sadarbības tīklā iesaistīti MVU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DAIF Latvija aicina ņemt vērā, ka atbilstoši plānotās programmas nosacījumiem var tikt iesaistīti uzņēmumi, kuri darbojas salīdzinoši nesen, bet kuriem ir augsta perspektīva gan palielināt pētniecības un attīstības izdevumu apjomu, gan internacionalizāties, līdz ar to darbības rādītāji uz sadarbības tīkla darbības uzsākšanas brīdi var nebūt augsti, bet palielināti projekta īstenošanas gaitā vai noteiktā laikā pēc projekta īstenošanas.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atzinīgi novērtē iespēju šīs atbalsta programmas ietvaros sniegt atbalstu arī lielajiem uzņēmumiem un pētniecības organizācijām, taču būtu jānodrošina samērīga kritēriju kopa, ņemot vērā gan pieejamā atbalsta finansējuma apjomu, gan uzņēmumu mērķa grupu, uz kuri plānoti atbalsta pasākumi strādātu visefektīvāk un arī tādā veidā palīdzētu labāk sasniegt programmas kopējos mērķus un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04.09.2023. 23.14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04.09.2023. 23.14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Atzinumi_22-TA-2458.docx</dc:title>
</cp:coreProperties>
</file>

<file path=docProps/custom.xml><?xml version="1.0" encoding="utf-8"?>
<Properties xmlns="http://schemas.openxmlformats.org/officeDocument/2006/custom-properties" xmlns:vt="http://schemas.openxmlformats.org/officeDocument/2006/docPropsVTypes"/>
</file>