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4.4.1.specifiskā atbalsta mērķa "Veicināt nabadzības vai sociālās atstumtības riskam pakļauto personu sociālo integrāciju, izmantojot sociālās inovācijas" 4.4.1.1. pasākuma "Atbalsts jaunām pieejām sabiedrībā balstītu sociālo pakalpojumu sniegšanā"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Pieņemot lēmumu par </w:t>
            </w:r>
            <w:r w:rsidR="00000000" w:rsidRPr="00000000" w:rsidDel="00000000">
              <w:rPr>
                <w:i w:val="1"/>
                <w:rtl w:val="0"/>
              </w:rPr>
              <w:t xml:space="preserve">de minimis</w:t>
            </w:r>
            <w:r w:rsidR="00000000" w:rsidRPr="00000000" w:rsidDel="00000000">
              <w:rPr>
                <w:rtl w:val="0"/>
              </w:rPr>
              <w:t xml:space="preserve"> atbalsta piešķiršanu</w:t>
            </w:r>
            <w:r w:rsidR="00000000" w:rsidRPr="00000000" w:rsidDel="00000000">
              <w:rPr>
                <w:rtl w:val="0"/>
              </w:rPr>
              <w:t xml:space="preserve">​</w:t>
            </w:r>
            <w:r w:rsidR="00000000" w:rsidRPr="00000000" w:rsidDel="00000000">
              <w:rPr>
                <w:rtl w:val="0"/>
              </w:rPr>
              <w:t xml:space="preserve">, ievēro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izvērtējumam par pretendenta atbilstību de minimis atbalsta nosacījumiem ir jābūt veiktam uz de minimis atbalsta piešķiršanas brīdi, kas noteikts noteikumu projekta 46.punktā, t.i., De minimis atbalsta piešķiršanas brīdis ir šo noteikumu 17.4. apakšpunktā minētās atbalstāmās darbības īstenošanai noslēgtā līguma ar atbalsta pretendentu spēkā stāšanās diena. Attiecīgi šobrīd nav skaidrs, vai noteikumu projekta 42.punktā minētais ir attiecināms uz de minimis atbalsta piešķiršanas brīdi. Ievērojot minēto, lūdzam precizēt noteikumu projekta 42.punkta ievaddaļu tā, lai būtu nepārprotami skaidrs, ka pretendenta atbilstība de minimis atbalsta nosacījumiem ir izvērtēta arī uz de minimis atbalsta piešķiršanas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Pasākumam ir noteikts elastības finansējums 2 997 727 </w:t>
            </w:r>
            <w:r w:rsidR="00000000" w:rsidRPr="00000000" w:rsidDel="00000000">
              <w:rPr>
                <w:i w:val="1"/>
                <w:rtl w:val="0"/>
              </w:rPr>
              <w:t xml:space="preserve">euro</w:t>
            </w:r>
            <w:r w:rsidR="00000000" w:rsidRPr="00000000" w:rsidDel="00000000">
              <w:rPr>
                <w:rtl w:val="0"/>
              </w:rPr>
              <w:t xml:space="preserve"> apmērā. Līdz elastības finansējuma piešķiršanai projekta iesniegumā pasākuma īstenošanai kopējo pasākumam pieejamo finansējumu plāno ne vairāk kā 12 002 273 </w:t>
            </w:r>
            <w:r w:rsidR="00000000" w:rsidRPr="00000000" w:rsidDel="00000000">
              <w:rPr>
                <w:i w:val="1"/>
                <w:rtl w:val="0"/>
              </w:rPr>
              <w:t xml:space="preserve">euro </w:t>
            </w:r>
            <w:r w:rsidR="00000000" w:rsidRPr="00000000" w:rsidDel="00000000">
              <w:rPr>
                <w:rtl w:val="0"/>
              </w:rPr>
              <w:t xml:space="preserve">apmērā, tai skaitā Eiropas Sociālā fonda Plus finansējumu – 10 201 932 </w:t>
            </w:r>
            <w:r w:rsidR="00000000" w:rsidRPr="00000000" w:rsidDel="00000000">
              <w:rPr>
                <w:i w:val="1"/>
                <w:rtl w:val="0"/>
              </w:rPr>
              <w:t xml:space="preserve">euro </w:t>
            </w:r>
            <w:r w:rsidR="00000000" w:rsidRPr="00000000" w:rsidDel="00000000">
              <w:rPr>
                <w:rtl w:val="0"/>
              </w:rPr>
              <w:t xml:space="preserve">apmērā, valsts budžeta līdzfinansējumu – 1 800 341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norādīto elastības finansējumu no 2 997 727 euro uz 2 997 728 euro, lai 4.4. prioritātes un fonda līmenī būtu iespējams nodrošināt Programmā noteikto kopējo elastības finansējuma apjomu. Attiecīgi nepieciešams veikt saistītās izmaiņas noteikumu projekta 9. punktā, ka pasākumā Eiropas Sociālā fonda Plus finansējuma ietvaros pieejams šķērsfinansējums Eiropas Reģionālā attīstības fonda atbalsta jomas izmaksām sabiedrībā balstītu sociālo pakalpojumu inovāciju īstenošanai, kas nepārsniedz 2 160 408 euro jeb 18 procentus no pasākumam pieejamā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noteikts elastības finansējums 2 997 728 euro apmērā. Līdz elastības finansējuma piešķiršanai projekta iesniegumā pasākuma īstenošanai kopējo pasākumam pieejamo finansējumu plāno ne vairāk kā 12 002 272 euro apmērā, tai skaitā Eiropas Sociālā fonda Plus finansējumu – 10 201 931 euro apmērā, valsts budžeta līdzfinansējumu – 1 800 341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30.2.5. gala labuma guvējam sniegtais finanšu atbalsts, kas tiek sniegts, ņemot vērā šo noteikumu V. nodaļā minētos </w:t>
            </w:r>
            <w:r w:rsidR="00000000" w:rsidRPr="00000000" w:rsidDel="00000000">
              <w:rPr>
                <w:i w:val="1"/>
                <w:rtl w:val="0"/>
              </w:rPr>
              <w:t xml:space="preserve">de minimis</w:t>
            </w:r>
            <w:r w:rsidR="00000000" w:rsidRPr="00000000" w:rsidDel="00000000">
              <w:rPr>
                <w:rtl w:val="0"/>
              </w:rPr>
              <w:t xml:space="preserve"> atbalsta ierobežojumus, viena sociālās inovācijas projekta īstenošanai nepārsniedz Komisijas 2013. gada 18. decembra Regulā (ES) Nr. 1407/2013 par Līguma par Eiropas Savienības darbību 107. un 108. panta piemērošanu</w:t>
            </w:r>
            <w:r w:rsidR="00000000" w:rsidRPr="00000000" w:rsidDel="00000000">
              <w:rPr>
                <w:i w:val="1"/>
                <w:rtl w:val="0"/>
              </w:rPr>
              <w:t xml:space="preserve"> de minimis</w:t>
            </w:r>
            <w:r w:rsidR="00000000" w:rsidRPr="00000000" w:rsidDel="00000000">
              <w:rPr>
                <w:rtl w:val="0"/>
              </w:rPr>
              <w:t xml:space="preserve"> atbalstam (ES Oficiālais Vēstnesis, 2013. gada 24. decembris, Nr. L 352) (turpmāk – Komisijas regula Nr. 1407/2013) noteikto maksimālo apmēru un to var piešķirt šādiem izdevumiem: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izmaksas, nodrošinot dubultā finansējuma riska neesamību, ņemot vērā netiešajās attiecināmajās izmaksās iekļautās pozīcijas. Vienlaikus aicinām izvērtēt, vai Vadošās iestādes izstrādātā metodika "Vienas vienības izmaksu standarta likmes aprēķina un piemērošanas metodika iekšzemes komandējumu izmaksām darbības programmas “Izaugsme un nodarbinātība” un Eiropas Savienības kohēzijas politikas programmas 2021.–2027.gadam īstenošanai"" nav piemērojama 30.2.5.16.apakšpunktā norādītajām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sociālo inovāciju projektu pieteikumu sagatavošanai un iesniegšanai paredz divus mēnešus, kā arī nosaka, ka šo noteikumu </w:t>
            </w:r>
            <w:r w:rsidR="00000000" w:rsidRPr="00000000" w:rsidDel="00000000">
              <w:rPr>
                <w:rtl w:val="0"/>
              </w:rPr>
              <w:t xml:space="preserve">30.3.1. </w:t>
            </w:r>
            <w:r w:rsidR="00000000" w:rsidRPr="00000000" w:rsidDel="00000000">
              <w:rPr>
                <w:rtl w:val="0"/>
              </w:rPr>
              <w:t xml:space="preserve">apakšpunktā</w:t>
            </w:r>
            <w:r w:rsidR="00000000" w:rsidRPr="00000000" w:rsidDel="00000000">
              <w:rPr>
                <w:rtl w:val="0"/>
              </w:rPr>
              <w:t xml:space="preserve"> minētās atlases ietvaros sociālās inovācijas pieteicējs  var iesniegt sociālās inovācijas projekta pieteikumu, kas paredz īstenot šo noteikumu </w:t>
            </w:r>
            <w:r w:rsidR="00000000" w:rsidRPr="00000000" w:rsidDel="00000000">
              <w:rPr>
                <w:rtl w:val="0"/>
              </w:rPr>
              <w:t xml:space="preserve">29.6. </w:t>
            </w:r>
            <w:r w:rsidR="00000000" w:rsidRPr="00000000" w:rsidDel="00000000">
              <w:rPr>
                <w:rtl w:val="0"/>
              </w:rPr>
              <w:t xml:space="preserve">apakšpunktā</w:t>
            </w:r>
            <w:r w:rsidR="00000000" w:rsidRPr="00000000" w:rsidDel="00000000">
              <w:rPr>
                <w:rtl w:val="0"/>
              </w:rPr>
              <w:t xml:space="preserve"> apstiprināto sociālās inovācijas idejas pieteikumu un ka šo noteikumu </w:t>
            </w:r>
            <w:r w:rsidR="00000000" w:rsidRPr="00000000" w:rsidDel="00000000">
              <w:rPr>
                <w:rtl w:val="0"/>
              </w:rPr>
              <w:t xml:space="preserve">30.3.2. </w:t>
            </w:r>
            <w:r w:rsidR="00000000" w:rsidRPr="00000000" w:rsidDel="00000000">
              <w:rPr>
                <w:rtl w:val="0"/>
              </w:rPr>
              <w:t xml:space="preserve">apakšpunktā</w:t>
            </w:r>
            <w:r w:rsidR="00000000" w:rsidRPr="00000000" w:rsidDel="00000000">
              <w:rPr>
                <w:rtl w:val="0"/>
              </w:rPr>
              <w:t xml:space="preserve"> minētās atlases ietvaros sociālās inovācijas pieteicējs var iesniegt vienu sociālās inovācijas projekta pieteikumu;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izmaksu un ieguvumu analīzes (turpmāk – IIA) neveikšanas iemeslu atbilstoši e-pastā panāktai vienošanās, lai nodrošinātu informācijas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izziņas 62. punktā norādīto skaidrojumu, ka gala labuma guvējiem būs jāsagatavo izmaksu un ieguvumu analīze un jāpievieno tā sociālās inovācijas projekta pieteikumam, ņemot vērā noteikumu projekta 30.5. apakšpunktā veiktās izmaiņas – svītrots uzdevums gala labuma guvējiem sagatavot izmaksu un ieguvumu analīzi.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 šo noteikumu </w:t>
            </w:r>
            <w:r w:rsidR="00000000" w:rsidRPr="00000000" w:rsidDel="00000000">
              <w:rPr>
                <w:rtl w:val="0"/>
              </w:rPr>
              <w:t xml:space="preserve">30.7. </w:t>
            </w:r>
            <w:r w:rsidR="00000000" w:rsidRPr="00000000" w:rsidDel="00000000">
              <w:rPr>
                <w:rtl w:val="0"/>
              </w:rPr>
              <w:t xml:space="preserve">apakšpunktā</w:t>
            </w:r>
            <w:r w:rsidR="00000000" w:rsidRPr="00000000" w:rsidDel="00000000">
              <w:rPr>
                <w:rtl w:val="0"/>
              </w:rPr>
              <w:t xml:space="preserve"> minēto lēmumu par sociālo inovāciju projekta pieteikuma noraidīšanu pieņem, ja sociālo inovāciju projekta pieteikums neatbilst šo noteikumu </w:t>
            </w:r>
            <w:r w:rsidR="00000000" w:rsidRPr="00000000" w:rsidDel="00000000">
              <w:rPr>
                <w:rtl w:val="0"/>
              </w:rPr>
              <w:t xml:space="preserve">30.2. </w:t>
            </w:r>
            <w:r w:rsidR="00000000" w:rsidRPr="00000000" w:rsidDel="00000000">
              <w:rPr>
                <w:rtl w:val="0"/>
              </w:rPr>
              <w:t xml:space="preserve">apakšpunktā</w:t>
            </w:r>
            <w:r w:rsidR="00000000" w:rsidRPr="00000000" w:rsidDel="00000000">
              <w:rPr>
                <w:rtl w:val="0"/>
              </w:rPr>
              <w:t xml:space="preserve"> minētajā sociālo inovāciju projektu pieteikumu atlases nolikumā noteiktajiem kritērijiem un to piemērošanas metodikā noteiktajiem nosacījumiem vai pasākuma ietvaros nav pieejams finansējums sociālās inovācijas projekta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finansējuma saņēmēja pienākums vērtēt gala labuma guvējus atbilstoši Eiropas Savienības 2021.-2027. gada plānošanas perioda 22. pantā noteiktajiem izslēgšanas nosacījumiem ir ar mērķi, lai rezultātā finansējuma saņēmējs būtu tiesīgs noraidīt gala labuma guvēja projekta pieteikumu. Ņemot vērā minēto, lūdzam papildināt noteikumu projekta 30.10. apakšpunktu, nosakot, ka lēmumu par sociālo inovāciju projekta pieteikuma noraidīšanu pieņem arī tad, ja tiek konstatēta gala labuma guvēja atbilstība iepriekš minētajiem izslēgšanas nosacījumiem (atbilstoši noteikumu projekta 30.6. apakšpunktam).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38.1.1. pasākumus interešu konflikta riska kontrolei atbalsta piešķiršanas procedūrā un publiskajos iepirkumos - preventīvus pasākumus un konstatēšanas pasākumus interešu konflikta riska kontrolei, tai skaitā paziņošanas procedūru, labošanas pasākumus - tai skaitā ietverot informāciju par interešu konflikta novēršanu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normu, kas paredz finansējuma saņēmēja pienākumu parakstīt interešu konflikta neesamības apliecinājumu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Ja tiek pārkāptas šajos noteikumos noteiktās komercdarbības atbalsta kontroles normas, tostarp nosacījumi, kas izriet no Komisijas regulas Nr.1407/2013, atbalsta saņēmējam ir pienākums atmaksāt atbalsta sniedzējam visu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Eiropas Savienības tiesu judikatūrai atbilstošu pienākumu atgūt nelikumīgo komercdarbības atbalstu, aicinām šo noteikumu projekta punktu izteikt,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Komisijas regulas Nr. 1407/2013 nosacījumi, atbalsta saņēmējam ir pienākums atmaksāt atbalsta sniedzējam visu projekta ietvaros saņemto nelikumīgo de minimis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apakšsadaļas "Risinājuma apraksts" 7. punktā "projekta vadība un tā īstenošanas nodrošināšana" 4. rindkopā minēto, norādot ar ko tiek slēgts Sabiedrības integrācijas fonda (turpmāk - SIF) sadarbības līgums, lai uzkrātu datus gala labuma guvēju līmenī. Nepieciešamības gadījumā, lūdzam precizēt minēto norādi, ņemot vērā, ka atbilstoši noteikumu projektam gala labuma guvēji ar SIF slēdz </w:t>
            </w:r>
            <w:r w:rsidR="00000000" w:rsidRPr="00000000" w:rsidDel="00000000">
              <w:rPr>
                <w:u w:val="single"/>
                <w:rtl w:val="0"/>
              </w:rPr>
              <w:t xml:space="preserve">līgumu vai vienošanos par sociālās inovācijas projekta īstenošanu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skaidrojumu, ka SIF padome pieņem lēmumus par sociālo inovāciju ideju atlasi un sociālo inovāciju projektu atlasi, pamatojoties uz to, ka finansējuma saņēmēja (SIF) lēmējorgāns ir SIF padome atbilstoši SIF likuma 2. panta otrajai daļai.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"Cita informācija" ir svītrojams pirmais teikums, ņemot vērā, ka likumprojekts "Par valsts budžetu 2024. gadam un budžeta ietvaru 2024., 2025. un 2026. gadam" šobrīd ir sagatavošanas noslēguma stadijā un priekšlikumi par nepieciešamajām pārdalēm 2024.gadam un turpmākajiem gadiem Finanšu ministrijā bija jāiesniedz līdz š.g. 17.novembrim.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korekti atspoguļot pilnu Komisijas regulas Nr.1407/2013 nosaukumu, kā arī pārskatīt un atbilstoši precizēt noteikumu projekta punktu izvērtējumu pret Komisijas regulu Nr.1407/2013, piem., Komisijas regulai Nr.1407/2013 nav 107. un 108.panta.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23-TA-645</w:t>
    </w:r>
    <w:r>
      <w:br/>
    </w:r>
    <w:r w:rsidR="00000000" w:rsidRPr="00000000" w:rsidDel="00000000">
      <w:rPr>
        <w:rtl w:val="0"/>
      </w:rPr>
      <w:t xml:space="preserve">Izdrukāts 28.11.2023. 17.59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23-TA-645</w:t>
    </w:r>
    <w:r>
      <w:br/>
    </w:r>
    <w:r w:rsidR="00000000" w:rsidRPr="00000000" w:rsidDel="00000000">
      <w:rPr>
        <w:rtl w:val="0"/>
      </w:rPr>
      <w:t xml:space="preserve">Izdrukāts 28.11.2023. 17.59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Atzinumi_23-TA-645.docx</dc:title>
</cp:coreProperties>
</file>

<file path=docProps/custom.xml><?xml version="1.0" encoding="utf-8"?>
<Properties xmlns="http://schemas.openxmlformats.org/officeDocument/2006/custom-properties" xmlns:vt="http://schemas.openxmlformats.org/officeDocument/2006/docPropsVTypes"/>
</file>