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anotācijas 3.sadaļas punktā “Cita informācija” norādītais liecina, ka likumprojekta īstenošanai ir nepieciešams papildu finansējums, bet anotācijas 3.sadaļa nav aizpildīta, proti, informācija par finansējuma apmēru un tā aprēķinu nav sniegta, attiecīgi lūdzam veikt precizējumus. Vēršam uzmanību, ka izziņā attiecībā uz iepriekš izteikto līdzvērtīgo iebildumu no Satiksmes ministrijas puses ir norādīts, ka ir precizēts likumprojekts un tā anotācija, tomēr nepieciešamie precizējumi nav veikti.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kā jau tas tika norādīts arī iepriekšējos atzinumos, atgādinām, ka nav atbalstāma tādu normatīvo aktu virzība, kuru īstenošana var netikt nodrošināta nepietiekamā finansējuma dēļ, attiecīgi situācijā, ja likumprojekta īstenošanai ir nepieciešams papildu finansējums, tad likumprojekta tālāka virzība ir iespējama tikai pēc šāda finansējuma piešķiršanas (likumprojekta anotācijā norāde par jautājuma skatīšanu valsts budžeta likumprojekta sagatavošanas procesā negarantē finansējuma piešķiršanu). Ja likumprojekta virzība ir nepieciešama ātrāk, tad Satiksmes ministrijai jāpiedāvā risinājums likumprojekta īstenošanai Satiksmes ministrijai pieejamo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29.04.2024. 19.27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29.04.2024. 19.27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