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šāda objekta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dzīvojamā māja virs pieciem</w:t>
            </w:r>
            <w:r w:rsidR="00000000" w:rsidRPr="00000000" w:rsidDel="00000000">
              <w:rPr>
                <w:b w:val="1"/>
                <w:rtl w:val="0"/>
              </w:rPr>
              <w:t xml:space="preserve"> </w:t>
            </w:r>
            <w:r w:rsidR="00000000" w:rsidRPr="00000000" w:rsidDel="00000000">
              <w:rPr>
                <w:rtl w:val="0"/>
              </w:rPr>
              <w:t xml:space="preserve">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ēka ar kopējo platību no 1000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ēka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patvertnē varētu iekļūt cilvēki un izmantot to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nepiemērojot publiskas personas mantas atsavināšanas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var lemt par atbrīvojumu no šajā likuma 7.</w:t>
            </w:r>
            <w:r w:rsidR="00000000" w:rsidRPr="00000000" w:rsidDel="00000000">
              <w:rPr>
                <w:vertAlign w:val="superscript"/>
                <w:rtl w:val="0"/>
              </w:rPr>
              <w:t xml:space="preserve">1</w:t>
            </w:r>
            <w:r w:rsidR="00000000" w:rsidRPr="00000000" w:rsidDel="00000000">
              <w:rPr>
                <w:rtl w:val="0"/>
              </w:rPr>
              <w:t xml:space="preserve"> panta trešajā daļā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būvniecības izmaksas, kas pārsniedz 50% no kopējām ēkas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metru rādiusā ap būvējamo objektu jau ir patvertnes, kas nodrošina 100% patvērums deklarētajiem iedzīvotājiem, kā arī nodrošina 100% patvērumu būvējamajā objektā paredzētajam cilvēku skaitam.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var lemt par atļauju būvēt kopīgu patvertni divām vai vairākām ēkām, ja patvertnes sasniedzamība nepārsniedz 300 metrus no attiecīgajās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precizētais likumprojekts ”Grozījumi Civilās aizsardzības un katastrofas pārvaldīšanas likumā”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likuma 7.</w:t>
            </w:r>
            <w:r w:rsidR="00000000" w:rsidRPr="00000000" w:rsidDel="00000000">
              <w:rPr>
                <w:vertAlign w:val="superscript"/>
                <w:rtl w:val="0"/>
              </w:rPr>
              <w:t xml:space="preserve">1</w:t>
            </w:r>
            <w:r w:rsidR="00000000" w:rsidRPr="00000000" w:rsidDel="00000000">
              <w:rPr>
                <w:rtl w:val="0"/>
              </w:rPr>
              <w:t xml:space="preserve"> panta trešajā daļā noteikto patvertnes būvniecības kritēriju “kvadrātmetri” piedāvājam izvērtēt un veidot tos izvērstāk, saistībā ar citiem nepieciešamiem nosacījumiem. Tieslietu ministrijas ieskatā patvertnes būvniecības būtiskākais kritērijs ir objektā vai tā tuvumā esošo cilvēku skaits, nevis kvadrātmetri. Vēršam uzmanību, ka nebūs pamatoti būvēt patvertni pie lielām ēkām, piemēram, ārpus apdzīvotām vietām esošām noliktavas ēkām, kurās pastāvīgi neuzturas cilvēki. Vienlaikus projektā piedāvājam precizēt likuma 7.</w:t>
            </w:r>
            <w:r w:rsidR="00000000" w:rsidRPr="00000000" w:rsidDel="00000000">
              <w:rPr>
                <w:vertAlign w:val="superscript"/>
                <w:rtl w:val="0"/>
              </w:rPr>
              <w:t xml:space="preserve">1</w:t>
            </w:r>
            <w:r w:rsidR="00000000" w:rsidRPr="00000000" w:rsidDel="00000000">
              <w:rPr>
                <w:rtl w:val="0"/>
              </w:rPr>
              <w:t xml:space="preserve"> panta ceturtajā un piektajā daļā paredzētos apzīmējumus “objekta īpašnieks” un “patvertnes īpašnieks”, proti, papildināt tos ar vārdiem “vai valdītājs”, jo valsts nekustamā īpašuma objektiem dažādas iestādes ir valdītājs, nevis īpašnieks. Tāpat arī privātiem objektiem nomas līguma noslēgšanas gadījumā par patvertnes uzturēšanas atbildīgo personu lietderīgāk būtu paredzēt faktisko valdītāju.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21.08.2024.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21.08.2024.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