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2., 3. un 4. nodaļas normas var nepiemērot, izņemot šo noteikumu 12., 14., 15., 18., 19., 20., 21., 30. un 31. punktu,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izteikt noteikumu 4.punktu jaunā redakcijā, taču, salīdzinot jauno grozījumu redakciju ar spēkā esošo noteikumu redakciju, nav saprotams kādus grozījumus ir mēģināts izdarīt, jo redakcijas ir praktiski identiskas. Lūdzam attiecīgi pārskatīt piedāvāto redakciju un pārliecināties vai ir nepieciešams grozīt noteikumu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objektu iznomājot šo noteikumu 4.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nomas objektu šo noteikumu 4.1. un 4.4.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Nomas pakalpojumu maksas cenrāžus pārskata atbilstoši nepieciešamībai un tirgus situācijai, bet ne retāk kā Publiskas personas finanšu līdzekļu un mantas izšķērdēšanas novēršanas likumā noteiktajā nomas maksas pārskatīšanas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izteikt noteikumu 5.punktu jaunā redakcijā, taču, salīdzinot jauno grozījumu redakciju ar spēkā esošo noteikumu redakciju, nav saprotams kādus grozījumus ir mēģināts izdarīt, jo redakcijas ir praktiski identiskas. Lūdzam attiecīgi pārskatīt piedāvāto redakciju un pārliecināties vai ir nepieciešams grozīt noteikumu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Reitere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03.04.2024. 07.42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03.04.2024. 07.42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Atzinumi_24-TA-459.docx</dc:title>
</cp:coreProperties>
</file>

<file path=docProps/custom.xml><?xml version="1.0" encoding="utf-8"?>
<Properties xmlns="http://schemas.openxmlformats.org/officeDocument/2006/custom-properties" xmlns:vt="http://schemas.openxmlformats.org/officeDocument/2006/docPropsVTypes"/>
</file>