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2023.gadu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 "Latvijas Pasts" (vienotais reģistrācijas Nr.40003052790) (turpmāk – kapitālsabiedrība) sadalīt peļņu par 2023. gadu saskaņā ar </w:t>
            </w:r>
            <w:r w:rsidR="00000000" w:rsidRPr="00000000" w:rsidDel="00000000">
              <w:rPr>
                <w:rtl w:val="0"/>
              </w:rPr>
              <w:t xml:space="preserve">Ministru kabineta 2022.gada 25.janvāra noteikumu Nr.72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neiemaksājot dividendes valsts budžeta ieņēmumos, 538 646  euro novirzīt saistību daļējai segšanai pret kapitālsabiedrību par 2025.gada 1. un 2.ceturkšņa dalītajiem maksājumiem par abonēto preses izdevumu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akciju sabiedrības "Latvijas Pasts" 2023. gada peļņa bija 538 646 euro un 64% no 2023. gada peļņas ir 344 733 euro, lūgums attiecīgi precizēt rīkojuma projektu, norādot atbilstošu dividendēs sadalāmās peļņas apmēru gan procentos, gan skaitliski.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22.05.2025.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22.05.2025.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Atzinumi_24-TA-2963.docx</dc:title>
</cp:coreProperties>
</file>

<file path=docProps/custom.xml><?xml version="1.0" encoding="utf-8"?>
<Properties xmlns="http://schemas.openxmlformats.org/officeDocument/2006/custom-properties" xmlns:vt="http://schemas.openxmlformats.org/officeDocument/2006/docPropsVTypes"/>
</file>