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w:t>
            </w:r>
            <w:r w:rsidR="00000000" w:rsidRPr="00000000" w:rsidDel="00000000">
              <w:rPr>
                <w:b w:val="1"/>
                <w:rtl w:val="0"/>
              </w:rPr>
              <w:t xml:space="preserve">pieejamība</w:t>
            </w:r>
            <w:r w:rsidR="00000000" w:rsidRPr="00000000" w:rsidDel="00000000">
              <w:rPr>
                <w:rtl w:val="0"/>
              </w:rPr>
              <w:t xml:space="preserve"> – iespēja lietotājam lietot IKT resursu noteiktā laikā un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Pieejamībai būtu jāattiecas uz informācijas resursu pieejamību (nevis IKT resursu), jo IKT resurss var būt pieejams lietošanai arī bez informācijas resursu pieejamības (tas nav ne tas pats, ne līdzvērtīgs).”;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2.17.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“pieejamība – iespēja lietotājam lietot informācijas resursu noteiktā laikā un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w:t>
            </w:r>
            <w:r w:rsidR="00000000" w:rsidRPr="00000000" w:rsidDel="00000000">
              <w:rPr>
                <w:b w:val="1"/>
                <w:rtl w:val="0"/>
              </w:rPr>
              <w:t xml:space="preserve">žurnālfaili </w:t>
            </w:r>
            <w:r w:rsidR="00000000" w:rsidRPr="00000000" w:rsidDel="00000000">
              <w:rPr>
                <w:rtl w:val="0"/>
              </w:rPr>
              <w:t xml:space="preserve">– analīzei pieejami pieraksti, kurās serveris automatizēti reģistrē datus par konkrētiem IKT notikumiem (piemēram, piekļuve, datu ievade, maiņa, dzēšana, izvade);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2.22.apakšpunkts skaidro terminu žurnālfaili.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“žurnālfaili – analīzei pieejami pieraksti, kurās serveris automatizēti reģistrē datus par konkrētiem IKT notikumiem (piemēram, piekļuve, datu ievade, maiņa, dzēšana, izvade);”.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Žurnālfailus rada ne tikai serveri, bet arī citas iekārtas, kā piemēram maršrutētāji vai printeri.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2.22.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“žurnālfaili – analīzei pieejami pieraksti, kuri tiek automatizēti reģistrēti un satur datus par konkrētiem IKT notikumiem (piemēram, piekļuve, datu ievade, maiņa, dzēšana, izvade);”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piedāvātā redakcija nav pieņemama, lūdzam Anotācijā skaidrot Aizsardzības ministrijas izvēlēto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Subjekts paziņo Nacionālajam kiberdrošības centram, nosūtot uz Aizsardzības ministrijas oficiālo elektronisko adresi, un Satversmes aizsardzības birojam, nosūtot uz tā oficiālo elektronisko adresi, elektroniski aizpildītu un parakstītu ar drošu elektronisko parakstu paziņojuma par kiberdrošības pārvaldnieku veidlapu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11.punkts nosaka kārtību par paziņojuma nosūtīšanu, kurā ieceļ kiberdrošības pārvaldnieku, bet nav noteikta prasība par fiziskās personas piekrišanas apliecinājumu šajā paziņojumā, ka tā tiks iecelta par kiberdrošības pārvaldnieku pie konkrētā subjekta.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3.pielikumu ar fiziskās personas topošā kiberdrošības pārvaldnieka piekrišanas apliecinājumu, kļūt par konkrētā subjekta kiberdrošības pārvaldnieku.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Fiziska persona, kura noteikta par IKT kritiskās infrastruktūras īpašnieka vai tiesiskā valdītaja kiberdrošības pārvaldnieku, nevar būt noteikta par kiberdrošības pārvaldnieku citā subjektā vai juridiskā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18. punkta redakciju, kura nosaka ierobežojumu fiziskai personai būt ķiberdrošības pārvaldniekam tikai vienam subjektam, kas ir IKT kritiskās infrastruktūras īpašnieks vai valdītājs. Ņemot vērā, ka subjekts varētu ietilpt uzņēmumu grupas koncernā (piemēram mātes uzņēmums, meitas uzņēmumi) un nereti kiberdrošība, IT pārvaldība ir uzņēmumu grupā kopīgi realizēta funkcija, tādēļ šāds ierobežojums nebūtu attiecināms uz vienas grupas uzņēmumiem.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18.punktu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Fiziska persona, kura noteikta par IKT kritiskās infrastruktūras īpašnieka vai tiesiskā valdītāja kiberdrošības pārvaldnieku, nevar būt noteikta par kiberdrošības pārvaldnieku citā subjektā vai juridiskā personā. Šis ierobežojums neattiecas uz vienas grupas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Subjekts nodrošina, ka fiziskā persona, kura subjektā kiberdrošības pārvaldnieka prombūtnes laikā pilda kiberdrošības pārvaldnieka pienākumus, atbilst subjekta kiberdrošības pārvaldniekam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pret 20.punktu (45.punkts, 70.punkts, 84.punkts):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Subjektam, kas ir IKT kritiskās infrastruktūras īpašnieks vai tiesiskais valdītājs, ir ļoti specifiskas prasības, saskaņā ar kurām tā var nozīmēt kiberdrošības pārvaldnieku. Tostarp viena no prasībām ir saņemt Satversmes biroja atzinumu, ka nav konstatēti drošības riski, kas var būt par pamatu apšaubīt fiziskās personas uzticamību. 20.punkts paredz, ka burtiski ir jānodrošina vēl viens kiberdrošības pārvaldnieka prasībām atbilstošs darbinieks, kas burtiski ir otrs kiberdrošības pārvaldnieks. Vienlaikus subjektam ir jānodrošina vēl 3 darbinieki, kas atbilst šīm prasībām un ir saņēmuši Satversmes biroja atzinumu par drošības risku neesamību. Šāda prasība nav samērīga un pamatota, it īpaši attiecībā uz 12.6. un 12.11.apakšpunktiem.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prasības atbilstoši Noteikumos noteiktajam atbildības līmenim, piemēram, nosakot, ka attiecībā uz 20., 45., 70. un 84.punktā noteiktajām personām izvirzāmas tādas prasības, kas izvirzītas būtisko pakalpojumu kiberdrošības pārvaldniekam (kas atbilst šo noteikumu 12.1.-12.5. noteiktajām prasībām un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20.punktu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“20.Subjekts nodrošina, ka fiziskā persona, kura kiberdrošības pārvaldnieka prombūtnes laikā pilda kiberdrošības pārvaldnieka pienākumus, ir kompetenta un apmācīta izpildīt subjekta kiberdrošības pārvaldnieka amata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Nacionālais kiberdrošības centrs sadarbībā ar Satversmes aizsardzības biroju izstrādā, vismaz reizi gadā pārskata un nepieciešamības gadījumā aktualizē informācijas sistēmas drošības klases noteikšanas vadlīnijas. Vadlīnijas publicē Nacionālā kiberdrošības centra un Satversmes aizsardzības biroja mājaslapā internetā.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38. punkts  nosaka, ka “Nacionālais kiberdrošības centrs sadarbībā ar Satversmes aizsardzības biroju izstrādā, vismaz reizi gadā pārskata un nepieciešamības gadījumā aktualizē informācijas sistēmas drošības klases noteikšanas vadlīnijas. Vadlīnijas publicē Nacionālā kiberdrošības centra un Satversmes aizsardzības biroja mājaslapā internetā.” Ņemot vērā, ka būs pieejams reģistrētu Kiberdrošības pārvaldnieku saraksts, veicot izmaiņas vai publicējot izmaiņas, šādos gadījumos var informēt elektroniski atbildīgās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38.punktu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“38.Nacionālais kiberdrošības centrs sadarbībā ar Satversmes aizsardzības biroju izstrādā, vismaz reizi gadā pārskata un nepieciešamības gadījumā aktualizē informācijas sistēmas drošības klases noteikšanas vadlīnijas. Vadlīnijas publicē Nacionālā kiberdrošības centra un Satversmes aizsardzības biroja mājaslapā internetā, kā arī informē Kiberdrošības pārvaldniekus nosūtot paziņojumu uz elektronisko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IKT kritiskās infrastruktūras īpašnieks vai tiesiskais valdītājs šo noteikumu 45. punktā minētās personas nosaka uz termiņu līdz 3 gadiem. Ne vēlāk kā  3 mēnešus pirms noteiktā termiņa beigām, IKT kritiskās infrastruktūras īpašnieks vai tiesiskais valdītājs paziņo Satversmes aizsardzības birojam, nosūtot uz tā oficiālo elektronisko adresi, elektroniski aizpildītu un parakstītu ar drošu elektronisko parakstu veidlapu par kiberdrošību atbildīgajām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49.punkts nosaka, ka “IKT kritiskās infrastruktūras īpašnieks vai tiesiskais valdītājs šo noteikumu 45. punktā minētās personas nosaka uz termiņu līdz 3 gadiem. Ne vēlāk kā  3 mēnešus pirms noteiktā termiņa beigām, IKT kritiskās infrastruktūras īpašnieks vai tiesiskais valdītājs paziņo Satversmes aizsardzības birojam, nosūtot uz tā oficiālo elektronisko adresi, elektroniski aizpildītu un parakstītu ar drošu elektronisko parakstu veidlapu par kiberdrošību atbildīgajām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precizēt 49.punktu, jo šobrīd nav viennozīmīgi saprotams vai viena persona varēs veikt IKT kritiskās infrastruktūras kiberrisku pārvaldības un IKT darbības nepārtrauktības plāna izstrādi, pārskatīšanu un aktualizēšanu, kā arī par plānā ietverto pasākumu īstenošanu pienākumus pēc 3 gadu termiņa un vai ir jāveic šīs personas atkārtota atbilstības pārbaude šo pienākumu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Subjekts nodrošina, ka visi informācijas sistēmas reģistrēti lietotāji ir iepazinušies ar informācijas sistēmas lietošanas noteikumiem. Subjekta pienākums ir nodrošināt,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57.punkts nosaka, ka visiem informācijas sistēmas reģistrētiem lietotājiem jāiepazīstas ar informācijas sistēmas lietošanas noteikumiem. Kāds tvērums ir šādai prasībai:  vai prasības attiecas tikai uz iekšējiem lietotājiem un iekšējām sistēmām vai minētais punkts attiecas arī uz ārējo klientu pakalpojumu sniegšanas informācijas sistēmām, kā piemēram latvija.lv, bis.gov.lv, elektrum.lv, mans.lmt.lv,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precizēt 57.punkta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Informācijas sistēmas žurnālfailos fiksē informācijas sistēmas notikuma laiku, kas sinhronizēts ar kiberincidentu novēršanas institūcijas tīmekļvietnē norādīto augstas precizitātes tīkla laika protokola (NTP) serveri, IP adresi, no kuras veikta darbība, vai citu iekārtas unikālu identifikatoru, kas kombinēts ar lietotāja identifikatoru un ļauj nepārprotami identificēt iekārtu un lietotāja kontu, no kura veikta darbība, darbības aprakstu, kā arī informāciju par darbības iniciatoru (piemēram, lietotāja identifikators, pieslēguma metadati).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63.punkts nosaka, ka “Informācijas sistēmas žurnālfailos fiksē informācijas sistēmas notikuma laiku, kas sinhronizēts ar kiberincidentu novēršanas institūcijas tīmekļvietnē norādīto augstas precizitātes tīkla laika protokola (NTP) serveri, IP adresi, no kuras veikta darbība, vai citu iekārtas unikālu identifikatoru, kas kombinēts ar lietotāja identifikatoru un ļauj nepārprotami identificēt iekārtu un lietotāja kontu, no kura veikta darbība, darbības aprakstu, kā arī informāciju par darbības iniciatoru (piemēram, lietotāja identifikators, pieslēguma metadati).” Iebilstam, ka laika sinhronizācija jāveic ar kiberincidentu novēršanas institūcijas tīmekļvietnē norādīto augstas precizitātes tīkla laika protokola (NTP) serveri.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63.punktu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63.Informācijas sistēmas žurnālfailos fiksē informācijas sistēmas notikuma laiku, kas sinhronizēts ar STRATUM-1 augstas precizitātes tīkla laika protokola (NTP) serveri, vai ar alternatīvu risinājumu, kurš saskaņots ar kiberincidentu novēršanas institūciju, IP adresi, no kuras veikta darbība, vai citu iekārtas unikālu identifikatoru, kas kombinēts ar lietotāja identifikatoru un ļauj nepārprotami identificēt iekārtu un lietotāja kontu, no kura veikta darbība, darbības aprakstu, kā arī informāciju par darbības iniciatoru (piemēram, lietotāja identifikators, pieslēguma metadati).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IKT kritiskās infrastruktūras īpašnieks vai tiesiskais valdītājs nosaka par žurnālfailu pārvaldību atbildīgo personu, kas atbilst šo noteikumu 12.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70.punkts nosaka, ka IKT kritiskās infrastruktūras īpašnieks vai tiesiskais valdītājs nosaka par žurnālfailu pārvaldību atbildīgo personu, kas atbilst šo noteikumu 12. punktā noteiktajām prasībām. Mūsu ieskatā attiecināt visas 12.punkta prasības par žurnālfailu pārvaldību atbildīgajai personai ir pārmērīgas.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70.punktu ar apakšpunktiem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70.1.kurai ir NATO, Eiropas Savienības vai Eiropas Ekonomikas zonas valsts pilsonība;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70.2.kura atbilst šo noteikumu 12.2.–12.3. apakšpunkta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70.3.kurai ir augstākā vai vidējā profesionālā izglītība kiberdrošības pārvaldības vai citā saistītā jomā, vai kura ir saņēmusi starptautiski atzītu sertifikātu, kas apliecina personas kvalifikāciju kiberdrošības pārvaldības jomā (piemēram, Security+), vai kurai ir vismaz divu gadu attiecīga darba pieredze;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IKT kritiskās infrastruktūras īpašnieks vai tiesiskais valdītājs šo noteikumu 70. punktā minētās personas nosaka uz termiņu līdz 3 gadiem. Ne vēlāk kā  3 mēnešus pirms noteiktā termiņa beigām, IKT kritiskās infrastruktūras īpašnieks vai tiesiskais valdītājs paziņo Satversmes aizsardzības birojam, nosūtot uz tā oficiālo elektronisko adresi, elektroniski aizpildītu un parakstītu ar drošu elektronisko parakstu veidlapu par kiberdrošību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74.punkts nosaka, ka  “IKT kritiskās infrastruktūras īpašnieks vai tiesiskais valdītājs šo noteikumu 70. punktā minētās personas nosaka uz termiņu līdz 3 gadiem. Ne vēlāk kā  3 mēnešus pirms noteiktā termiņa beigām, IKT kritiskās infrastruktūras īpašnieks vai tiesiskais valdītājs paziņo Satversmes aizsardzības birojam, nosūtot uz tā oficiālo elektronisko adresi, elektroniski aizpildītu un parakstītu ar drošu elektronisko parakstu veidlapu par kiberdrošību atbildīgajām personām (3.pielikums).”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precizēt 74.punktu, jo šobrīd nav viennozīmīgi saprotams vai par žurnālfailu pārvaldību atbildīgā persona varēs veikt šos pienākumus pēc 3 gadu termiņa un vai jāveic šīs personas atkārtota atbilstības pārbaude šo pienākumu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Subjekts nodrošina, ka ir pieejamas vismaz: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“77.Subjekts nodrošina, ka ir pieejamas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77.1.informācijas sistēmas tehniskās dokumentācijas rezerves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77.2.informācijas sistēmas versijas un saistīto bibliotēku versiju pirmkoda (source code) rezerves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77.3.informācijas sistēmas darbību nodrošinošo tehnisko resursu konfigurāciju rezerves kopijas, ja vien tas ir tehniski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redakcijas izriet, ka nosauktās prasības ir minimums, kas jānodrošina attiecībā uz rezerves kopijām.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77.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“77.Papildus 76.punkta minimālām prasībām subjekts nodrošina, ka ir pieejamas vismaz:”.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 rezerves kopijām gan fiziski, gan elektroniskajā vidē var piekļūt tikai par rezerves kopiju atbildīgā persona un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80.1. apakšpunkts nosaka, ka “rezerves kopijām gan fiziski, gan elektroniskajā vidē var piekļūt tikai par rezerves kopiju atbildīgā persona un kiberdrošības pārvaldnieks”. Piedāvātā redakcija ierobežo iespējas rezerves kopijas glabāt pie trešās puses pakalpojumu sniedzējiem, kā arī ITK administratoriem veikt atjaunošanu no rezerves kopijām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šī apakšpunkta prasības un kā prasības varēs tikt praktiski realizētas.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IKT kritiskās infrastruktūras īpašnieks vai tiesiskais valdītājs nosaka par rezerves kopiju veidošanu, glabāšanu, pārbaudi un dzēšanu atbildīgo personu, kas atbilst šo noteikumu 12.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84.punkts nosaka, ka “IKT kritiskās infrastruktūras īpašnieks vai tiesiskais valdītājs nosaka par rezerves kopiju veidošanu, glabāšanu, pārbaudi un dzēšanu atbildīgo personu, kas atbilst šo noteikumu 12. punktā noteiktajām prasībām.”. Mūsu ieskatā piemērot atbildīgajai personai par rezerves kopiju veidošanu, glabāšanu, pārbaudi un dzēšanu visas 12.punkta prasības ir nesamērīgi.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84. punktu ar jauniem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“84.1.kurai ir NATO, Eiropas Savienības vai Eiropas Ekonomikas zonas valsts pilsonība;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84.2.kura atbilst šo noteikumu 12.2.–12.3. apakšpunkta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84.3.kura ir apmācīta un prot lietot subjekta rīcībā esošo rezerves kopiju veidošanas un uzglabāšanas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IKT KI kritiskās infrastruktūras īpašniekam vai tiesiskajam valdītājam ārpakalpojuma līgumu par IKT kritiskās infrastruktūras informācijas sistēmas tehnisko resursu iegādi atļauts slēgt, ja ārpakalpojuma sniedzējs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111.punkts nosaka prasības, kas izvirzāmas ārpakalpojuma sniedzējam, kas nodrošina IKT kritiskās infrastruktūras informācijas sistēmas tehnisko resursu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 apakšpunkts paredz, ka juridiskai personas valdei jāsastāv no fiziskām personām, kuras ir NATO, Eiropas Savienības vai Eiropas Ekonomikas zonas dalībvalstu pilsoņi. Šāda prasība ir nesamērīga, diskriminējoša un pretrunā ar starptautisko praksi. Vienlaikus tā būtiski ierobežos IKT kritiskās infrastruktūras turētāju spējas nodrošināt tehnisko resursu apgādi un atjaunošanu atbilstoši vajadzībām, jo nepamatoti sašaurina piegādātāju loku. Lūdzam prasību no Noteikumu projekta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īpašnieks vai tiesiskais valdītājs nekavējoties, bet ne vēlāk kā 10 darba dienu laikā, informē Satversmes aizsardzības biroju par ielaušanās testa rezultātiem nosūtot tos uz Satversmes aizsardzības biroja oficiālo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punktā noteikts, ka “IKT kritiskās infrastruktūras īpašnieks vai tiesiskais valdītājs nekavējoties, bet ne vēlāk kā 10 darba dienu laikā, informē Satversmes aizsardzības biroju par ielaušanās testa rezultātiem nosūtot tos uz Satversmes aizsardzības biroja oficiālo elektroniskā pasta adresi” Citos Noteikumu projekta punktos paziņošanas kanāls ir elektroniskā adrese, tādēļ mūsu ieskatā prasībai par informācijas nosūtīšanu uz Satversmes aizsardzības biroja </w:t>
            </w:r>
            <w:r w:rsidR="00000000" w:rsidRPr="00000000" w:rsidDel="00000000">
              <w:rPr>
                <w:u w:val="single"/>
                <w:rtl w:val="0"/>
              </w:rPr>
              <w:t xml:space="preserve">oficiālo elektroniskā pasta adresi </w:t>
            </w:r>
            <w:r w:rsidR="00000000" w:rsidRPr="00000000" w:rsidDel="00000000">
              <w:rPr>
                <w:rtl w:val="0"/>
              </w:rPr>
              <w:t xml:space="preserve">nav konsekventa.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153.punktu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īpašnieks vai tiesiskais valdītājs nekavējoties, bet ne vēlāk kā 10 darba dienu laikā, informē Satversmes aizsardzības biroju par ielaušanās testa rezultātiem nosūtot tos uz Satversmes aizsardzības biroja oficiālo elektronisko adresi”.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157.5. detalizētus drošības skenēšanas rezultātus drošības skenēšanas veicējs nekavējoties nosūta attiecīgajam kritiskās infrastruktūras īpašniekam vai tiesiskajam valdītājam un Satversmes aizsardzības birojam, sniedzot arī attiecīgus ieteikumus;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157.5. apakšpunkts nosaka, ka “detalizētus drošības skenēšanas rezultātus drošības skenēšanas veicējs nekavējoties nosūta attiecīgajam kritiskās infrastruktūras īpašniekam vai tiesiskajam valdītājam un Satversmes aizsardzības birojam, sniedzot arī attiecīgus ieteikumus”.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jāsūta skenēšanas rezultāti, kurus veikt nosaka prasības nozares standartos, kā piemēram, PCI-DSS Council, vai arī šī punkta regulējums attiecas tikai uz gadījumiem, kad drošības skenēšanu iniciējis Satversmes drošības birojs.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Agrās brīdināšanas sensori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8.3. sadaļa paredz, ka agrās brīdināšanas sensorus subjekta IKT infrastruktūrā izvieto, uztur un demontē kompetentā kiberincidentu novēršanas institūcija, kā arī nosaka prioritāru kārtību, kādā izvieto sensorus, un vērtē agrās brīdināšanas sensoru uzstādīšanas nepieciešamību un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Nacionālās kiberdrošības likumā likumdevējs skaidri noteicis pilnvarojuma saturu un robežas. Likumdevējs nav paredzējis tiesības kiberincidentu novēršanas institūcijai izvietot agrās brīdināšanas sensorus subjektu infrastruktūrā. Likumdevējs attiecībā uz agrās brīdināšanas sensoriem un to izvietošanu likuma 29.pantā ir paredzējis, ka “Ministru kabinets nosaka kritērijus kiberdrošības agrās brīdināšanas sensoru obligātai uzstādīšanai subjektu informācijas un komunikācijas tehnoloģiju infrastruktūrā, kā arī agrās brīdināšanas sensoru uzstādīšanas un izmantošanas noteikumus.”. Deleģējums paredz Ministru kabinetam noteikt kritērijus tam, kuriem subjektiem obligāti šādi sensori izvietojami, uzstādāmi un izmantojami. Deleģējums neparedz, ka šos sensorus subjekta infrastruktūra izvieto un apkalpo kiberincidentu novēršanas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Satversmes tiesa ir norādījusi, ka nav pieļaujama pamattiesību ierobežojuma noteikšana  bez skaidra likumdevēja pilnvarojuma. Savukārt īstenojot pilnvarojumu, ir jāizvairās no personas pamattiesības ierobežošanas, ja uz to ierobežojuu nepieciešamību nav tieši norādīt pilnvarojošajā normā (sk. Satversmes tiesas 2005.gada 21.novembra sprieduma lietā Nr. 2005-13-03-0306 10.punktu un 2016.gada 12.februāra sprieduma lietā Nr. 2015-13-03 15.punktu). Tādi normatīvie akti, kas izdoti bez atbilstoša pilnvarojuma (ultra vires), tiek uzskatīti par spēkā neesošiem un nav saistoši adresātiem.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pilnībā pārstrādāt 8.3.sadaļu atbilstoši likumdevēja sniegtajam deleģējumam Nacionālās kiberdrošības likuma 29.pantā, sadaļā ietverot: 1) pazīmes, kuras paredz obligāti uzstādīt agrās brīdināšanas sensorus likuma subjektiem; 2) uzstādīšanas un 3) izmantošanas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5.pielikuma 1.4. apakšpunktu (infrastruktūras pakalpojumi, kas vajadzīgi sakaru tīkla un pakalpojumu darbībai un tā darbības atbalstam), jo Noteikumu projekta 5.pielikuma 1. punkts nosaka publiskā elektronisko sakaru tīkla kritisko daļu, atkarībā no funkcijām, bet 1.4 apakšpunktā tiek norādīti infrastruktūras pakalpojumi. Nav skaidrs uz kāda veida pakalpojumiem 1.4 apakšpunkts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1.4 apakšpunkta redakciju vai papildināt ar piemēriem.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 </w:t>
            </w:r>
            <w:r w:rsidR="00000000" w:rsidRPr="00000000" w:rsidDel="00000000">
              <w:rPr>
                <w:b w:val="1"/>
                <w:rtl w:val="0"/>
              </w:rPr>
              <w:t xml:space="preserve">tehniskais resurss</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tehnisko resursu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2.20. punktā ietverto tehniskā resursa  definīciju, iekļaujot skaidru norādi, ka tehniskais resurss ir tāda </w:t>
            </w:r>
            <w:r w:rsidR="00000000" w:rsidRPr="00000000" w:rsidDel="00000000">
              <w:rPr>
                <w:u w:val="single"/>
                <w:rtl w:val="0"/>
              </w:rPr>
              <w:t xml:space="preserve">iekārta, kas ir pieslēdzama tīklam</w:t>
            </w:r>
            <w:r w:rsidR="00000000" w:rsidRPr="00000000" w:rsidDel="00000000">
              <w:rPr>
                <w:rtl w:val="0"/>
              </w:rPr>
              <w:t xml:space="preserve">, lai izvairītos no interpretācijas, kas ietvertu tikai tādas iekārtas, kas ir pastāvīgi pieslēgtas pie tīkla (kā tas ir pausts izziņā). Ierosinām papildus skaidrojumu arī iekļaut anotācijas tekstā, kas paskaidrotu, ka kiberdrošībai rada riskus jebkura iekārta, kas ir pieslēdzama tīklam, neatkarīgi vai tā nepārtraukti ir pieslēgta, vai arī tiek pieslēgta periodiski (piemēram, lai atjauninātu programatūru).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2.20.</w:t>
            </w:r>
            <w:r w:rsidR="00000000" w:rsidRPr="00000000" w:rsidDel="00000000">
              <w:rPr>
                <w:b w:val="1"/>
                <w:i w:val="1"/>
                <w:rtl w:val="0"/>
              </w:rPr>
              <w:t xml:space="preserve"> tehniskais resurss –</w:t>
            </w:r>
            <w:r w:rsidR="00000000" w:rsidRPr="00000000" w:rsidDel="00000000">
              <w:rPr>
                <w:i w:val="1"/>
                <w:rtl w:val="0"/>
              </w:rPr>
              <w:t xml:space="preserve">2.20.1. aparatūra (hardware), tostarp iekārta, kas ir tīkla vai informācijas sistēmas sastāvdaļa, kā arī atsevišķa IKT infrastruktūrā izmantota iekārta, </w:t>
            </w:r>
            <w:r w:rsidR="00000000" w:rsidRPr="00000000" w:rsidDel="00000000">
              <w:rPr>
                <w:i w:val="1"/>
                <w:u w:val="single"/>
                <w:rtl w:val="0"/>
              </w:rPr>
              <w:t xml:space="preserve">un tīklam pieslēdzama iekārta</w:t>
            </w:r>
            <w:r w:rsidR="00000000" w:rsidRPr="00000000" w:rsidDel="00000000">
              <w:rPr>
                <w:i w:val="1"/>
                <w:rtl w:val="0"/>
              </w:rPr>
              <w:t xml:space="preserve">.</w:t>
            </w:r>
            <w:r w:rsidR="00000000" w:rsidRPr="00000000" w:rsidDel="00000000">
              <w:rPr>
                <w:i w:val="1"/>
                <w:rtl w:val="0"/>
              </w:rPr>
              <w:t xml:space="preserve">2.20.2. programmatūra (software), tostarp operētājsistēmas, sistēmfaili, sistēmprogrammas, lietojumprogrammas un palīgprogrammas.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Subjekts kiberdrošības pārvaldības dokumentu kopuma daļām nosaka vismaz ierobežotas pieejamības informācijas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attiecībā uz </w:t>
            </w:r>
            <w:r w:rsidR="00000000" w:rsidRPr="00000000" w:rsidDel="00000000">
              <w:rPr>
                <w:b w:val="1"/>
                <w:rtl w:val="0"/>
              </w:rPr>
              <w:t xml:space="preserve">23. un 24.punktu</w:t>
            </w:r>
            <w:r w:rsidR="00000000" w:rsidRPr="00000000" w:rsidDel="00000000">
              <w:rPr>
                <w:rtl w:val="0"/>
              </w:rPr>
              <w:t xml:space="preserve"> – kurām kiberdrošības pārvaldības dokumentu kopumu daļām nosakāms vismaz ierobežotas pieejamības informācijas statuss. Vai tas attiecas uz visām kopumu daļām vai uz noteiktām kopumu daļām. Ja, jā, tad uz kuram kopumu daļām.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IKT kritiskās infrastruktūras īpašnieks vai tiesiskais valdītājs kiberdrošības pārvaldības dokumentu kopuma daļas pēc to apstiprināšanas vai aktualizēšanas nekavējoties, bet ne vēlāk kā viena mēneša laikā iesniedz Satversmes aizsardzības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attiecībā uz 27.punktu – saskaņā ar 21.punktu subjekta kiberdrošības pārvaldības dokumentu kopumu veido kiberdrošības politika, IKT resursu un informācijas sistēmu katalogs, kbierrisku pārvaldības un IKT darbības nepārtrauktības plāns, kiberincidentu žurnāls. Praksē katalogu vienību skaits var pārsniegt simtus. Saskaņā ar 27.punktu subjektam kopuma daļas pēc aktualizēšanas ir jāiesniedz Satversmes aizsardzības birojam. Vai tas nozīmē, ka par katru aktualizēto kopuma vienību ir jāsniedz informācija vai tas attiecas uz visu dokumenta kopuma daļu Noteikumos noteiktās regularitātes aktualizāciju?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IKT kritiskās infrastruktūras īpašnieks vai tiesiskais valdītājs pirms jaunas informācijas sistēmas izveides iesniedz Satversmes aizsardzības birojam jaunveidojamās informācijas sistēmas funkcionālo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attiecībā uz 36.punktu – vai pirms katras jaunas informācijas sistēmas izveides, kas tiek veidota subjekta uzņēmumā, ir jāsniedz sistēmas funkcionālais apraksts, vai tas attiecas tikai uz kritiskās infrastruktūras informācijas sistēmu (Noteikumu 2.6.apakšpunkta izpratnē)? Papildus – kādā termiņā pirms sistēmas izveides ir jāiesniedz dokumentācija un, vai iesniedzot informāciju, jāievēro kāds termiņš pēc kura var sākt sistēmas izveidi?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Subjekts nodrošina, ka katrai tā īpašumā vai valdījumā esošajai informācijas sistēmai tiek veidotas rezerves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pārbaudi attiecībā uz </w:t>
            </w:r>
            <w:r w:rsidR="00000000" w:rsidRPr="00000000" w:rsidDel="00000000">
              <w:rPr>
                <w:b w:val="1"/>
                <w:rtl w:val="0"/>
              </w:rPr>
              <w:t xml:space="preserve">75. un 79.punktiem</w:t>
            </w:r>
            <w:r w:rsidR="00000000" w:rsidRPr="00000000" w:rsidDel="00000000">
              <w:rPr>
                <w:rtl w:val="0"/>
              </w:rPr>
              <w:t xml:space="preserve"> – šķietami funkcijas punktos pārklājas.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IKT kritiskās infrastruktūras īpašnieks vai tiesiskais valdītājs par šo noteikumu 77. punktā minēto personu nedrīkst noteikt tā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pārbaudi </w:t>
            </w:r>
            <w:r w:rsidR="00000000" w:rsidRPr="00000000" w:rsidDel="00000000">
              <w:rPr>
                <w:b w:val="1"/>
                <w:rtl w:val="0"/>
              </w:rPr>
              <w:t xml:space="preserve">85.punktā, 86.punktā</w:t>
            </w:r>
            <w:r w:rsidR="00000000" w:rsidRPr="00000000" w:rsidDel="00000000">
              <w:rPr>
                <w:rtl w:val="0"/>
              </w:rPr>
              <w:t xml:space="preserve"> attiecībā uz atsaucēm citos Noteikumu punktos, šķietami 77.punkts nav atbilstošs references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Satversmes aizsardzības birojs pārbauda IKT kritiskās infrastruktūras īpašnieka vai tiesiskā valdītāja šo noteikumu 80. punktā minēto personu kandidātu atbilstību šo noteikumu 12. punktā minētajām prasībām, par atzinuma rezultātiem informējot attiecīgā subjekta vadītāju.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pārbaudi </w:t>
            </w:r>
            <w:r w:rsidR="00000000" w:rsidRPr="00000000" w:rsidDel="00000000">
              <w:rPr>
                <w:b w:val="1"/>
                <w:rtl w:val="0"/>
              </w:rPr>
              <w:t xml:space="preserve">87. un 88. punktā</w:t>
            </w:r>
            <w:r w:rsidR="00000000" w:rsidRPr="00000000" w:rsidDel="00000000">
              <w:rPr>
                <w:rtl w:val="0"/>
              </w:rPr>
              <w:t xml:space="preserve"> attiecībā uz atsauci Noteikumu 80.punktā – šķietami nav atbilstošs references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IKT KI kritiskās infrastruktūras īpašniekam vai tiesiskajam valdītājam ārpakalpojuma līgumu par IKT kritiskās infrastruktūras informācijas sistēmas tehnisko resursu iegādi atļauts slēgt, ja ārpakalpojuma sniedzējs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valstu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pārņēmis MK noteikumu Nr. 442 “Kārtība, kādā tiek nodrošināta informācijas un komunikācijas tehnoloģiju sistēmu atbilstība minimālajām drošības prasībām” ietverto redakciju attiecībā uz izcelsmes valstīm. Tādējādi noteikumu projekta 111. punktā ir iekļauti kritēriji, kas ietver tikai NATO, ES un EEZ dalībvalstis. Šāds ierobežojums </w:t>
            </w:r>
            <w:r w:rsidR="00000000" w:rsidRPr="00000000" w:rsidDel="00000000">
              <w:rPr>
                <w:b w:val="1"/>
                <w:u w:val="single"/>
                <w:rtl w:val="0"/>
              </w:rPr>
              <w:t xml:space="preserve">izslēdz Šveici</w:t>
            </w:r>
            <w:r w:rsidR="00000000" w:rsidRPr="00000000" w:rsidDel="00000000">
              <w:rPr>
                <w:rtl w:val="0"/>
              </w:rPr>
              <w:t xml:space="preserve">, kas nav EEZ dalībvalsts, bet ir cieši integrēta Eiropas ekonomikā un ir Eiropas Brīvās tirdzniecības asociācijas dalībvalsts. Šveice bieži vien ES līmeņa ierobežojumos tiek pielīdzināta EEZ dalībvalstīm arī ja formāli tā nav EEZ dalībvalsts. Vienlaikus šāds ierobežojums izslēdz valstis, kas vēsturiski ir bijušas ES ciešas partnervalstis un kuras ievēro ES un Latvijai līdzvērtīgus drošības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projekta 111. punktā iekļaut valstis, kuras ir atzītas par ES partneru valstīm daudzos ES noteiktajos sankciju režīmos: ASV, Japāna, Apvienotā Karaliste, Dienvidkoreja, Austrālija, Kanāda, Jaunzēlande, Norvēģija, Šveice, Lihtenšteina un Islande.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valstu uzskaitījums ir skaidri redzams, piemēram, Regulas (ES) Nr. 833/2014 par ierobežojošiem pasākumiem saistībā ar Krievijas darbībām, kas destabilizē situāciju Ukrainā. Regulā Šveice tiek pielīdzināta EEZ valstij un VIII pielikumā tiek uzskaitītas tās partnervalstis, uz kurām netiek piemēroti ES ierobežojošie pasākumi: ASV, Japāna, Apvienotā Karaliste, Dienvidkoreja, Austrālija, Kanāda, Jaunzēlande, Norvēģija, Šveice, Lihtenšteina un Islande.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Būtisko pakalpojuma sniedzējam, kas nav IKT kritiskās infrastruktūras īpašnieks vai tiesiskais valdītājs, ārpakalpojuma līgumu saistībā ar A klases informācijas sistēmu atļauts slēgt: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pārbaudi 118.punktā attiecībā uz atsauci Noteikumu 112.punktā – šis punkts ir izņēmuma piemērošanas punkts 111.punktam, tāpēc šķietami nav atbilstošs references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Satversmes aizsardzības birojs: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attiecībā uz 125.punktu – tajā noteikts, ka Satversmes aizsardzības irojs apzina iespējamo A, B un C kategorijas IKT kritisko infrastruktūru. Kādā veidā tiek noteiktas kategorijas infrastruktūrai, ja Noteikumu 4.pielikumā noteiktas tikai drošības klases?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 Šo noteikumu </w:t>
            </w:r>
            <w:r w:rsidR="00000000" w:rsidRPr="00000000" w:rsidDel="00000000">
              <w:rPr>
                <w:rtl w:val="0"/>
              </w:rPr>
              <w:t xml:space="preserve">21.</w:t>
            </w:r>
            <w:r w:rsidR="00000000" w:rsidRPr="00000000" w:rsidDel="00000000">
              <w:rPr>
                <w:rtl w:val="0"/>
              </w:rPr>
              <w:t xml:space="preserve">–</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96.</w:t>
            </w:r>
            <w:r w:rsidR="00000000" w:rsidRPr="00000000" w:rsidDel="00000000">
              <w:rPr>
                <w:rtl w:val="0"/>
              </w:rPr>
              <w:t xml:space="preserve"> un </w:t>
            </w:r>
            <w:r w:rsidR="00000000" w:rsidRPr="00000000" w:rsidDel="00000000">
              <w:rPr>
                <w:rtl w:val="0"/>
              </w:rPr>
              <w:t xml:space="preserve">97.</w:t>
            </w:r>
            <w:r w:rsidR="00000000" w:rsidRPr="00000000" w:rsidDel="00000000">
              <w:rPr>
                <w:rtl w:val="0"/>
              </w:rPr>
              <w:t xml:space="preserve"> punktā noteiktās prasības piemēro no 2025.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konkrētu prasību piemērošanas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180. punktā ietverto prasību piemērošanas laiku, lai šis piemērošanas laiks būtu samērīgs ar pārējiem ieviešanas termiņiem. Pašlaik noteikumu projekta redakcijā ir atstāts sākotnējais termiņš – 2025. gada 1.jūlijs. Tomēr šis prasību piemērošanas laiks ir nesamērīgs, īpaši, ja noteikumus ir plānots piemērot ar š.g. 1. martu un š.g. 1. oktobris ir termiņš sākotnējam pašvērtējuma ziņojumam. Tādēļ ierosinām precizēt noteikumu projekta 180. punktu, nosakot, ka noteikumu 21.- 94., 96. un 97. punktu piemēro ar 2025. gada 1. oktobri.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prasības darbības nepārtrauktības plāna izstrādei valsts apdraudējuma gadījumam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Noteikumu projekta 8. pielikumā ir vienkārši pārkopētas MK noteikumu nr. 508 2. pielikuma prasības par darbības nepārtrauktības plāna valsts apdraudējuma gadījumā iekļaujamo informāciju kritiskās infrastruktūras turētājiem.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lūgums sniegt atbildes uz diviem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vai MK noteikumi Nr. 508 tiks likvidēti?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vai būs vēl citi noteikumi par IKT darbības nepārtrauktības plānā iekļaujamo informāciju būtiskiem un svarīgiem pakalpojuma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