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11. punktu. Aicinām nesamazināt avansa maksājuma apmēru izglītības iestādēm. LDDK ieskatā ar noteikumu grozījumiem nebūtu atbalstāma situācijas pasliktināšana izglītības iestādēm, kuras īsteno bezdarbnieku vai darba meklētāju apmācības. LDDK ieskatā izglītības iestādēm ir iespēja izvērtēt riskus, kas saistīti ar nepieciešamību atgriezt līdzekļus par priekšfinansēto mācību pasākumu dalībnieku daļu, kas mācības pārtrauc vai nenokārto gala pārbaudījumus. LDDK ieskatā būtu nepieciešams iegūt izglītības iestāžu viedokli par avansa maksājuma apjoma samazinājumu, ņemot vārā, ka primārais risks attiecībā uz avansa atgriešanu ir jāuzņemas tieši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17. punktu. LDDK kopumā atbalsta nepieciešamību palielināt viena kupona vērtības likmes, ņemot vērā energoresursu sadārdzinājumu. Vienlaikus aicinām skaidrot, kāpēc energoresursu sadārdzinājuma kontekstā tiek palielinātas viena kupona vērtības likmes tikai traktortehnikas vadīšanas apmācībām?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22.09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22.09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