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jūnija noteikumos Nr. 345 "Aizsargātā lietotāja tirdzniecības pakalpojuma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punkta “Cita informācija” otro teikumu.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Identificētās datu apmaiņas termiņa izmaiņu izmaksas datu apmaiņā iesaistītajām pusēm ir nebūtiskas un</w:t>
            </w:r>
            <w:r w:rsidR="00000000" w:rsidRPr="00000000" w:rsidDel="00000000">
              <w:rPr>
                <w:u w:val="single"/>
                <w:rtl w:val="0"/>
              </w:rPr>
              <w:t xml:space="preserve"> tiks nodrošinātas tām piešķirto valsts budžeta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24-TA-1102</w:t>
    </w:r>
    <w:r>
      <w:br/>
    </w:r>
    <w:r w:rsidR="00000000" w:rsidRPr="00000000" w:rsidDel="00000000">
      <w:rPr>
        <w:rtl w:val="0"/>
      </w:rPr>
      <w:t xml:space="preserve">Izdrukāts 15.05.2024.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24-TA-1102</w:t>
    </w:r>
    <w:r>
      <w:br/>
    </w:r>
    <w:r w:rsidR="00000000" w:rsidRPr="00000000" w:rsidDel="00000000">
      <w:rPr>
        <w:rtl w:val="0"/>
      </w:rPr>
      <w:t xml:space="preserve">Izdrukāts 15.05.2024.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