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 apakšsadaļā nodrošināt pilnīgus un precīzus projekta skaidrojumus. Vēršam uzmanību, ka, piemēram, norādē "normatīvajos aktos noteiktajā kārtībā" jāprecizē informāciju par to kādi normatīvie akti ar to saprotami. Tāpat lūdzam aktualizēt anotācijas skaidrojumus atbilstoši precizējumiem projektā, piemēram, tā 13.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Ministru kabineta noteikumiem noformēt atbilstoši Ministru kabineta 2009. gada 3. februāra noteikumu Nr. 108 "Normatīvo aktu projektu sagatavošanas noteikumi" 3.7. apakšnodaļas nosacījumiem, savukārt atsauces uz Eiropas Savienības tiesību aktiem atbilstoši minēto noteikumu 4. nodaļai. Vēršam uzmanību, ka atsaucē uz Eiropas Savienības tiesību aktu norāda šādu informāciju attiecīgā secībā: institūcija (Komisija, Padome, Eiropas Parlaments), kas izdevusi attiecīgo tiesību aktu; tiesību akta pieņemšanas datums; veids (regula, direktīva, lēmums); numurs un nosaukums atbilstoši tiesību akta nosaukumam latviešu valodā EUR-Lex datu bāzē,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27.03.2026.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27.03.2026.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