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1. pielikumā (Indikatīvs ietekmes novērtējums uz valsts un pašvaldību budžetiem) pie 2.6. rīcības virziena “</w:t>
            </w:r>
            <w:r w:rsidR="00000000" w:rsidRPr="00000000" w:rsidDel="00000000">
              <w:rPr>
                <w:i w:val="1"/>
                <w:rtl w:val="0"/>
              </w:rPr>
              <w:t xml:space="preserve">Izveidot valsts kapitālsabiedrību “Mājokļu fonda institūcija”, kas nodrošinātu dažādiem iedzīvotāju sociālajām grupām pieejamus dzīvokļus īrei un iegādei”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pārvirzīt finansējumu 100 000 000 EUR no 2023. gada uz 2024.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budžeta programmas (apakš-programmas) kodu no 80.00.00 </w:t>
            </w:r>
            <w:r w:rsidR="00000000" w:rsidRPr="00000000" w:rsidDel="00000000">
              <w:rPr>
                <w:i w:val="1"/>
                <w:rtl w:val="0"/>
              </w:rPr>
              <w:t xml:space="preserve">"Nesadalītais finansējums Eiropas Savienības politiku instrumentu un pārējās ārvalstu finanšu palīdzības līdzfinansēto projektu un pasākumu īstenošanai"</w:t>
            </w:r>
            <w:r w:rsidR="00000000" w:rsidRPr="00000000" w:rsidDel="00000000">
              <w:rPr>
                <w:rtl w:val="0"/>
              </w:rPr>
              <w:t xml:space="preserve"> uz 33.00.00 </w:t>
            </w:r>
            <w:r w:rsidR="00000000" w:rsidRPr="00000000" w:rsidDel="00000000">
              <w:rPr>
                <w:i w:val="1"/>
                <w:rtl w:val="0"/>
              </w:rPr>
              <w:t xml:space="preserve">"Emisijas kvotu izsolīšanas instruments" </w:t>
            </w:r>
            <w:r w:rsidR="00000000" w:rsidRPr="00000000" w:rsidDel="00000000">
              <w:rPr>
                <w:rtl w:val="0"/>
              </w:rPr>
              <w:t xml:space="preserve">(saskaņā ar konceptuālajā ziņojumā </w:t>
            </w:r>
            <w:r w:rsidR="00000000" w:rsidRPr="00000000" w:rsidDel="00000000">
              <w:rPr>
                <w:i w:val="1"/>
                <w:rtl w:val="0"/>
              </w:rPr>
              <w:t xml:space="preserve">"Valsts atbalsts pašvaldībām, lai nodrošinātu iedzīvotājiem kvalitatīvus un pieejamus īres mājokļus" </w:t>
            </w:r>
            <w:r w:rsidR="00000000" w:rsidRPr="00000000" w:rsidDel="00000000">
              <w:rPr>
                <w:rtl w:val="0"/>
              </w:rPr>
              <w:t xml:space="preserve">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Zigmārs Erts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“Mājokļu pieejamības pamatnostādnes 2022. – 2027.gadam” ietver informāciju par precizētu sadaļu “Vides piekļūstamība”. Norādām, ka vides piekļūstamības nodrošināšanai, bez plānotajām rīcībām, ir nepieciešams vienots normatīvais regulējums valsts līmenī prasību izpildei. Lūdzam pamatnostādņu uzdevumus papildināt ar uzdevumu par vienotu prasību regulējuma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Zigmārs Erts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23.05.2023. 19.31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23.05.2023. 19.31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