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Cilvēkkapitāla attīstības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28.02.2023.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28.02.2023.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