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3.2. sadaļu "Eiropas Savienības tendences" ar informāciju par tiesību aktiem, kas indicē Eiropas Savienības plānoto attīstību transporta enerģijas ziņā, piemēram, Eiropas Parlamenta un Padomes 2023. gada 13. septembra regulu (ES) 2023/1804 par alternatīvo degvielu infrastruktūras ieviešanu un ar ko atceļ Direktīvu 2014/94/ES, lai atspoguļotu faktu, ka pēc Eiropas Savienības ieskatiem ūdeņradis nav pielietojams tikai sektoros, ko citādi ir grūti elektrificēt - tas uzskatāms par pilnvērtīgu degvielas paveidu visā transporta nozarē, uzsverot arī nepieciešamību izvairīties no paļaušanās tikai uz vienu alternatīvās enerģijas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Adamsons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3.7. sadaļu "Aktivitātes", norādot, ka lielāka mēroga projektu ar augstu pievienoto vērtību īstenošanai ir nepieciešams noteikt vienu virsatbildīgo ministriju vai iestādi, kas koordinētu projekta ieviešanas procesu, sniegtu mērķtiecīgu atbalstu investoriem un mazinātu birokrātiskos šķēršļus. Lai arī atbalstām Ekonomikas ministrijas iniciatīvu izveidot starpinstitūciju darba grupu, uzskatām, ka atbildības sadalījums starp vairākām institūcijām nenodrošinās būtisku birokrātijas samazinājumu investoriem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finansiālā atbalsta instrumentiem investoriem, pašreizējā pieeja lielā mērā balstās uz Eiropas Savienības fondu pieejamību, taču trūkst koordinētas un pārskatāmas “ceļa kartes” šo līdzekļu praktiskai izmantošanai. Līdz ar to efektīva “vienas pieturas aģentūras” pieeja veicinātu Latvijai nozīmīgu projektu īstenošanu. Norādām, ka attiecībā uz ilgtspējīgas aviācijas degvielas (SAF) ražošanu Latvijā jau ir identificēti divi potenciāli projekti, kas būtu būtisks ieguldījums Latvijas enerģētiskās neatkarības stiprināšanā un sniegtu nozīmīgu pienesumu tautsaimniecībai. Šādu projektu īstenošanai ir nepieciešams nodrošināt koordinētu un mērķtiecīgu sadarbību un komunikāciju starp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informatīvā ziņojuma rindkopu par investīciju piesaisti ar priekšlikumiem investoru atbalstam projekta sākumposmā, ņemot vērā, ka nozīmīgi investīciju projekti, īpaši saistībā ar sektoru dekarbonizāciju, prasa būtiskus sākotnējos ieguldījumus un ir saistīti ar salīdzinoši ilgu atmaksāšanās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informatīvā ziņojuma rindkopu "Attīstīt normatīvo un regulatīvo ietvaru". Attiecībā uz ūdeņraža izmantošanu, pastāv iespēja šādas iniciatīvas uzsākt jau tuvākajā laikā, ņemot vērā, ka ir pieejami vairāki pētījumi un scenāriji, kuros jau identificētas nepieciešamās izmaiņas tiesiskajā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Ķauķīte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