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26-TA-1598: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24. septembra rīkojumā Nr. 776 "Par iekārtu sarakstu emisijas kvotu sadalei 2026.–2030.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pārliecināties, ka situācijas aprakstā sniegta korekta atsauce uz likumu "Par piesārņojumu". Spēkā esošajā likuma redakcijā atrodams , ka 32</w:t>
            </w:r>
            <w:r w:rsidR="00000000" w:rsidRPr="00000000" w:rsidDel="00000000">
              <w:rPr>
                <w:vertAlign w:val="superscript"/>
                <w:rtl w:val="0"/>
              </w:rPr>
              <w:t xml:space="preserve">1 </w:t>
            </w:r>
            <w:r w:rsidR="00000000" w:rsidRPr="00000000" w:rsidDel="00000000">
              <w:rPr>
                <w:rtl w:val="0"/>
              </w:rPr>
              <w:t xml:space="preserve">pants zaudējis spēku ar 12.12.2025.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Indra Ciukša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26-TA-1598</w:t>
    </w:r>
    <w:r>
      <w:br/>
    </w:r>
    <w:r w:rsidR="00000000" w:rsidRPr="00000000" w:rsidDel="00000000">
      <w:rPr>
        <w:rtl w:val="0"/>
      </w:rPr>
      <w:t xml:space="preserve">Izdrukāts 06.07.2026. 12.04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26-TA-1598</w:t>
    </w:r>
    <w:r>
      <w:br/>
    </w:r>
    <w:r w:rsidR="00000000" w:rsidRPr="00000000" w:rsidDel="00000000">
      <w:rPr>
        <w:rtl w:val="0"/>
      </w:rPr>
      <w:t xml:space="preserve">Izdrukāts 06.07.2026. 12.04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