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24-TA-1280: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12. augusta noteikumos Nr. 471 "Parakstu vākšanas tiešsaistes sistēmu drošības un tehniskās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portāla elektroniski identificētu fizisku personu, kura parakstīšanās dienā atbilst likumā "Par tautas nobalsošanu, likumu ierosināšanu un Eiropas pilsoņu iniciatīvu" vai Vietējo pašvaldību referendumu likumā noteiktajām prasībām (turpmāk – vēlēšanu tiesības), portāla parakstu vākšanas tiešsaistes sistēmai no Fizisko personu reģistra sniedz Pilsonības un migrācijas lietu pārvalde, izmantojot tīmekļa pakalpi. Pilsonības un migrācijas lietu pārvalde ir tīmekļa pakalpes pārzinis un turētājs.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1.4.apakšpunktu paredzēts izteikt Ministru kabineta 2014. gada 12. augusta noteikumu Nr. 471 "Parakstu vākšanas tiešsaistes sistēmu drošības un tehniskās prasības" (turpmāk – Noteikumi Nr.471) 6.punktu jaunā redakcijā, nosakot, ka informāciju par portāla elektroniski identificētu fizisku personu, kura parakstīšanās dienā atbilst likumā "Par tautas nobalsošanu, likumu ierosināšanu un Eiropas pilsoņu iniciatīvu" vai </w:t>
            </w:r>
            <w:r w:rsidR="00000000" w:rsidRPr="00000000" w:rsidDel="00000000">
              <w:rPr>
                <w:u w:val="single"/>
                <w:rtl w:val="0"/>
              </w:rPr>
              <w:t xml:space="preserve">Vietējo pašvaldību referendumu likumā</w:t>
            </w:r>
            <w:r w:rsidR="00000000" w:rsidRPr="00000000" w:rsidDel="00000000">
              <w:rPr>
                <w:rtl w:val="0"/>
              </w:rPr>
              <w:t xml:space="preserve"> noteiktajām prasībām, portāla parakstu vākšanas tiešsaistes sistēmai no Fizisko personu reģistra sniedz Pilsonības un migrācijas lietu pārvalde, izmantojot tīmekļa pakalpi. Pilsonības un migrācijas lietu pārvalde ir tīmekļa pakalpes pārzinis un turētājs.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e-pakalpojuma “Parakstīšanās par vēlētāju iniciatīvām” darbībai, tajā skaitā personas atbilstības pārbaudei likumā “Par tautas nobalsošanu, likumu ierosināšanu un Eiropas pilsoņu iniciatīvu” noteiktajām prasībām, Pilsonības un migrācijas lietu pārvalde nodrošina datus, izmantojot starpsistēmu saskarņu risinājumu, slēdzot vienošanos. Savukārt personas atbilstības pārbaudi Vietējo pašvaldību referenduma likumā noteiktajām prasībām Pilsonības un migrācijas lietu pārvalde nodrošina, sniedzot datus Datu izplatīšanas un pārvaldības platformā (DAGR) (pašlaik testa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Pilsonības un migrācijas lietu pārvaldes uzturētajā Fizisko personu reģistrā nav informācijas par personai piederošajiem nekustamajiem īpašumiem, tādējādi Pilsonības un migrācijas lietu pārvalde nevar sniegt apliecinājumu vai noraidījumu tam, ka persona atbilst Vietējo pašvaldību referendumu likuma 7.panta pirmās daļas 2.punktā noteiktajām prasībām (par to, vai personai attiecīgās pašvaldības administratīvajā teritorijā pieder likumā noteiktajā kārtībā reģistrēts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projekta 1.4.apakšpunktā ietverto Noteikumu Nr.471 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portāla elektroniski identificētu fizisku personu, kura parakstīšanās dienā atbilst likumā “Par tautas nobalsošanu, likumu ierosināšanu un Eiropas pilsoņu iniciatīvu” (turpmāk – vēlēšanu tiesības), portāla parakstu vākšanas tiešsaistes sistēmai no Fizisko personu reģistra sniedz Pilsonības un migrācijas lietu pārvalde tiešsaistes datu pārraides režīmā.”;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projektu ar jaunu vienību (punktu), kas paredz papildināt Noteikumus Nr.471 ar 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Informāciju par portāla elektroniski identificētu fizisku personu, kura parakstīšanās dienā atbilst Vietējo pašvaldību referendumu likuma 7.panta pirmās daļas nosacījumiem, izņemot atbilstību 2.apakšpunktā minētajām prasībām, portāla parakstu vākšanas tiešsaistes sistēmai no Fizisko personu reģistra sniedz Pilsonības un migrācijas lietu pārvalde tiešsaistes datu pārraides režīmā. Ja fiziskā persona atbilst pārējiem nosacījumiem, izņemot deklarētās dzīvesvietas esamību konkrētajā pašvaldībā, tad portāla parakstu vākšanas tiešsaistes sistēmai datus par īpašumtiesībām no Valsts vienotās datorizētās zemesgrāmatas sniedz Tiesu administrācija, izmantojot tīmekļa pakalpi. Tiesu administrācija ir tīmekļa pakalpes pārzinis un turētājs.”.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projektu ar jaunu vienību (punktu), kas paredz attiecīgu grozījumu izdarīšanu arī spēkā esošajā Noteikumu Nr.471 7.punktā saistībā ar šā iebilduma 1. un 2.punktā izteikto aicinājumu (sk. piedāvāto 6. un 6.</w:t>
            </w:r>
            <w:r w:rsidR="00000000" w:rsidRPr="00000000" w:rsidDel="00000000">
              <w:rPr>
                <w:vertAlign w:val="superscript"/>
                <w:rtl w:val="0"/>
              </w:rPr>
              <w:t xml:space="preserve">1</w:t>
            </w:r>
            <w:r w:rsidR="00000000" w:rsidRPr="00000000" w:rsidDel="00000000">
              <w:rPr>
                <w:rtl w:val="0"/>
              </w:rPr>
              <w:t xml:space="preserve"> punkta regulējumu, kurš vairs neparedz Pilsonības un migrācijas lietu pārvaldi noteikt kā tīmekļa pakalpes pārzini un turētāju).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24-TA-1280</w:t>
    </w:r>
    <w:r>
      <w:br/>
    </w:r>
    <w:r w:rsidR="00000000" w:rsidRPr="00000000" w:rsidDel="00000000">
      <w:rPr>
        <w:rtl w:val="0"/>
      </w:rPr>
      <w:t xml:space="preserve">Izdrukāts 17.07.2024. 16.45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24-TA-1280</w:t>
    </w:r>
    <w:r>
      <w:br/>
    </w:r>
    <w:r w:rsidR="00000000" w:rsidRPr="00000000" w:rsidDel="00000000">
      <w:rPr>
        <w:rtl w:val="0"/>
      </w:rPr>
      <w:t xml:space="preserve">Izdrukāts 17.07.2024. 16.45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Atzinumi_24-TA-1280.docx</dc:title>
</cp:coreProperties>
</file>

<file path=docProps/custom.xml><?xml version="1.0" encoding="utf-8"?>
<Properties xmlns="http://schemas.openxmlformats.org/officeDocument/2006/custom-properties" xmlns:vt="http://schemas.openxmlformats.org/officeDocument/2006/docPropsVTypes"/>
</file>