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noteikumu projekta normas ir pārņemtas atbilstoši attiecīgo Eiropas Savienības tiesību aktu normām. Turklāt svarīgi pie noteikumu projekta norādīt, kāpēc papildu Eiropas Savienības normām noteikumu projektā ir ietvertas normas no nacionālajiem tiesību aktiem. Lai noteikumu projekts nebūtu pretrunā Eiropas Savienības prasībām, skaidri jānorāda juridiskais pamats, kas ļauj dalībvalstīm pieņemt papildu normas. Ņemot vērā minēto, Tieslietu ministrija varēs sniegt precīzu izvērtējumu par noteikumu projekta atbilstību Eiropas Savienības tiesību aktiem pēc anotācijas precizēšanas.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22.02.2023.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22.02.2023.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Atzinumi_22-TA-3736.docx</dc:title>
</cp:coreProperties>
</file>

<file path=docProps/custom.xml><?xml version="1.0" encoding="utf-8"?>
<Properties xmlns="http://schemas.openxmlformats.org/officeDocument/2006/custom-properties" xmlns:vt="http://schemas.openxmlformats.org/officeDocument/2006/docPropsVTypes"/>
</file>