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1.3.sadaļā norādīts, ka Noteikumu projekta 25.-29. punktā noteikts veids, kādā Informācijas sistēmas pārzinis atbilstoši Apgrūtināto teritoriju informācijas sistēmas likuma 12. panta piektajai daļai sniedz Apgrūtināto teritoriju informācijas sistēmas datus (turpmāk – Informācijas sistēmas dati) pēc pieprasījuma bez maksas atbilstoši piekļuves tiesībām, tostarp - valsts tiešās pārvaldes iestādēm, vietējām pašvaldībām, privātpersonām, kas pilda tām deleģētos valsts pārvaldes uzdevumus, Saeimai, Valsts kontrolei, valsts drošības iestādēm, izmeklēšanas iestādēm, prokuratūrai un tiesām.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anotācijā skaidrot, vai un kādā veidā minētie dati tiks nodoti valsts nekustamā īpašuma pārvaldītājam – kapitālsabiedrībai, kurai ar pārvaldīšanas līgumu valsts institūcija nodevusi pārvaldīšanai tās valdījumā esošos valsts nekustamos īpašumus.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Rozenberga (VNI)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papildināt anotācijas 3.sadaļas punktu “Cita informācija” ar skaidrojumu, vai Tieslietu ministrijas budžetā finansējums jau bija plānots, lai nodrošinātu projektā paredzēto normu izpildi, vai tiek rasts pārskatot izdevumus.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Daira Stempere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09.06.2023.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09.06.2023.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